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4AE2" w14:textId="77777777" w:rsidR="00C63549" w:rsidRDefault="00622AFF">
      <w:pPr>
        <w:widowControl w:val="0"/>
        <w:spacing w:after="140" w:line="288" w:lineRule="auto"/>
        <w:rPr>
          <w:rFonts w:asciiTheme="majorHAnsi" w:hAnsiTheme="majorHAnsi" w:cstheme="majorHAnsi"/>
          <w:b/>
          <w:szCs w:val="22"/>
          <w:lang w:val="en-GB"/>
        </w:rPr>
      </w:pPr>
      <w:r>
        <w:rPr>
          <w:rFonts w:asciiTheme="majorHAnsi" w:hAnsiTheme="majorHAnsi" w:cstheme="majorHAnsi"/>
          <w:b/>
          <w:szCs w:val="22"/>
          <w:lang w:val="en-GB"/>
        </w:rPr>
        <w:t>Supplemental material:</w:t>
      </w:r>
    </w:p>
    <w:p w14:paraId="20DEA87B" w14:textId="77777777" w:rsidR="00C63549" w:rsidRDefault="00622AFF">
      <w:pPr>
        <w:pStyle w:val="Caption"/>
      </w:pPr>
      <w:r>
        <w:rPr>
          <w:rFonts w:cstheme="majorHAnsi"/>
          <w:b/>
          <w:i w:val="0"/>
          <w:color w:val="000000" w:themeColor="text1"/>
          <w:sz w:val="22"/>
          <w:szCs w:val="22"/>
        </w:rPr>
        <w:t xml:space="preserve">Supplemental </w:t>
      </w:r>
      <w:r w:rsidRPr="00605CBC">
        <w:rPr>
          <w:rFonts w:cstheme="majorHAnsi"/>
          <w:b/>
          <w:i w:val="0"/>
          <w:color w:val="000000" w:themeColor="text1"/>
          <w:sz w:val="22"/>
          <w:szCs w:val="22"/>
        </w:rPr>
        <w:t xml:space="preserve">Figure </w:t>
      </w:r>
      <w:r w:rsidRPr="00605CBC">
        <w:rPr>
          <w:b/>
          <w:i w:val="0"/>
          <w:sz w:val="22"/>
          <w:szCs w:val="22"/>
        </w:rPr>
        <w:fldChar w:fldCharType="begin"/>
      </w:r>
      <w:r w:rsidRPr="00605CBC">
        <w:rPr>
          <w:b/>
          <w:i w:val="0"/>
          <w:sz w:val="22"/>
          <w:szCs w:val="22"/>
        </w:rPr>
        <w:instrText>SEQ Figure \* ARABIC</w:instrText>
      </w:r>
      <w:r w:rsidRPr="00605CBC">
        <w:rPr>
          <w:b/>
          <w:i w:val="0"/>
          <w:sz w:val="22"/>
          <w:szCs w:val="22"/>
        </w:rPr>
        <w:fldChar w:fldCharType="separate"/>
      </w:r>
      <w:r w:rsidRPr="00605CBC">
        <w:rPr>
          <w:b/>
          <w:i w:val="0"/>
          <w:sz w:val="22"/>
          <w:szCs w:val="22"/>
        </w:rPr>
        <w:t>1</w:t>
      </w:r>
      <w:r w:rsidRPr="00605CBC">
        <w:rPr>
          <w:b/>
          <w:i w:val="0"/>
          <w:sz w:val="22"/>
          <w:szCs w:val="22"/>
        </w:rPr>
        <w:fldChar w:fldCharType="end"/>
      </w:r>
      <w:r>
        <w:rPr>
          <w:rFonts w:cstheme="majorHAnsi"/>
          <w:b/>
          <w:i w:val="0"/>
          <w:color w:val="000000" w:themeColor="text1"/>
          <w:sz w:val="22"/>
          <w:szCs w:val="22"/>
        </w:rPr>
        <w:t xml:space="preserve">: Flowcharts of births included and excluded in analyses 1986 to 2012. </w:t>
      </w:r>
    </w:p>
    <w:p w14:paraId="18F22B23" w14:textId="77777777" w:rsidR="00C63549" w:rsidRDefault="00622AF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-GB"/>
        </w:rPr>
        <w:t>1a: ONS Births</w:t>
      </w:r>
    </w:p>
    <w:p w14:paraId="1D6D96E3" w14:textId="77777777" w:rsidR="00C63549" w:rsidRDefault="00C63549">
      <w:pPr>
        <w:rPr>
          <w:rFonts w:asciiTheme="majorHAnsi" w:hAnsiTheme="majorHAnsi" w:cstheme="majorHAnsi"/>
          <w:i/>
          <w:sz w:val="22"/>
        </w:rPr>
      </w:pPr>
    </w:p>
    <w:p w14:paraId="10424CA6" w14:textId="77777777" w:rsidR="00C63549" w:rsidRDefault="00622AFF">
      <w:pPr>
        <w:spacing w:line="360" w:lineRule="auto"/>
        <w:rPr>
          <w:rFonts w:asciiTheme="majorHAnsi" w:hAnsiTheme="majorHAnsi" w:cstheme="majorHAnsi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251A254" wp14:editId="60CD3E24">
                <wp:extent cx="5309870" cy="219646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80" cy="2196000"/>
                          <a:chOff x="0" y="0"/>
                          <a:chExt cx="0" cy="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0" y="0"/>
                            <a:ext cx="2473200" cy="818640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14:paraId="1D2209E2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17,502,059</w:t>
                              </w:r>
                            </w:p>
                            <w:p w14:paraId="3DE1E5CA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  <w:p w14:paraId="1E394330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Live, singleton births 1986-2012 extracted</w:t>
                              </w:r>
                            </w:p>
                            <w:p w14:paraId="15D342E2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  <w:p w14:paraId="64B9A5A7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1250280" y="848880"/>
                            <a:ext cx="720" cy="44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1250280" y="1074600"/>
                            <a:ext cx="1690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2943720" y="595800"/>
                            <a:ext cx="2365200" cy="1028880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14:paraId="56B35A07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247,435</w:t>
                              </w:r>
                            </w:p>
                            <w:p w14:paraId="39919C0E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  <w:p w14:paraId="221C92F0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Births excluded due to missing data (n = 236,381) or unreliable observations (n =11,054)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" name="Flowchart: Process 6"/>
                        <wps:cNvSpPr/>
                        <wps:spPr>
                          <a:xfrm>
                            <a:off x="0" y="1299960"/>
                            <a:ext cx="2473200" cy="896040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14:paraId="07731F74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17,254,624</w:t>
                              </w:r>
                            </w:p>
                            <w:p w14:paraId="668A5DC9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  <w:p w14:paraId="653CCE25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Live, singleton births 1986-2012 analysed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1A254" id="Group 1" o:spid="_x0000_s1026" style="width:418.1pt;height:172.9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width:2473200;height:81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3mMMA&#10;AADaAAAADwAAAGRycy9kb3ducmV2LnhtbESPQWsCMRSE7wX/Q3hCL0WzSqmyGqUVCj3WVcTjc/PM&#10;rm5eliTd3f77plDocZiZb5j1drCN6MiH2rGC2TQDQVw6XbNRcDy8T5YgQkTW2DgmBd8UYLsZPawx&#10;167nPXVFNCJBOOSooIqxzaUMZUUWw9S1xMm7Om8xJumN1B77BLeNnGfZi7RYc1qosKVdReW9+LIK&#10;jFnc3vyl7rv98+nz/HReyq4olXocD68rEJGG+B/+a39oBXP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3mMMAAADaAAAADwAAAAAAAAAAAAAAAACYAgAAZHJzL2Rv&#10;d25yZXYueG1sUEsFBgAAAAAEAAQA9QAAAIgDAAAAAA==&#10;" fillcolor="white [3201]" strokecolor="black [3200]" strokeweight="1pt">
                  <v:textbox>
                    <w:txbxContent>
                      <w:p w14:paraId="1D2209E2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17,502,059</w:t>
                        </w:r>
                      </w:p>
                      <w:p w14:paraId="3DE1E5CA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  <w:p w14:paraId="1E394330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Live, singleton births 1986-2012 extracted</w:t>
                        </w:r>
                      </w:p>
                      <w:p w14:paraId="15D342E2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  <w:p w14:paraId="64B9A5A7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shape>
                <v:polyline id="Freeform: Shape 3" o:spid="_x0000_s1028" style="position:absolute;visibility:visible;mso-wrap-style:square;v-text-anchor:top" points="1250280,848880,1271880,87048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RocMA&#10;AADaAAAADwAAAGRycy9kb3ducmV2LnhtbESPQWuDQBSE74X8h+UVcqtrEyiNcSMhUGiIIDVpzw/3&#10;RUX3rbibaP99t1DocZiZb5g0m00v7jS61rKC5ygGQVxZ3XKt4HJ+e3oF4Tyyxt4yKfgmB9lu8ZBi&#10;ou3EH3QvfS0ChF2CChrvh0RKVzVk0EV2IA7e1Y4GfZBjLfWIU4CbXq7i+EUabDksNDjQoaGqK29G&#10;wZRX3em6ym9FXhw/7VexyUurlVo+zvstCE+z/w//td+1gjX8Xg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LRocMAAADaAAAADwAAAAAAAAAAAAAAAACYAgAAZHJzL2Rv&#10;d25yZXYueG1sUEsFBgAAAAAEAAQA9QAAAIgDAAAAAA==&#10;" fillcolor="white [3201]" strokecolor="black [3200]" strokeweight="1pt">
                  <v:stroke endarrow="open" joinstyle="miter"/>
                  <v:path arrowok="t"/>
                </v:polyline>
                <v:polyline id="Freeform: Shape 4" o:spid="_x0000_s1029" style="position:absolute;visibility:visible;mso-wrap-style:square;v-text-anchor:top" points="1250280,1074600,1271880,10962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J1cMA&#10;AADaAAAADwAAAGRycy9kb3ducmV2LnhtbESPQWuDQBSE74X8h+UVcqtrQyiNcSMhUGiIIDVpzw/3&#10;RUX3rbibaP99t1DocZiZb5g0m00v7jS61rKC5ygGQVxZ3XKt4HJ+e3oF4Tyyxt4yKfgmB9lu8ZBi&#10;ou3EH3QvfS0ChF2CChrvh0RKVzVk0EV2IA7e1Y4GfZBjLfWIU4CbXq7i+EUabDksNDjQoaGqK29G&#10;wZRX3em6ym9FXhw/7VexyUurlVo+zvstCE+z/w//td+1gjX8Xg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J1cMAAADaAAAADwAAAAAAAAAAAAAAAACYAgAAZHJzL2Rv&#10;d25yZXYueG1sUEsFBgAAAAAEAAQA9QAAAIgDAAAAAA==&#10;" fillcolor="white [3201]" strokecolor="black [3200]" strokeweight="1pt">
                  <v:stroke endarrow="open" joinstyle="miter"/>
                  <v:path arrowok="t"/>
                </v:polyline>
                <v:shape id="Flowchart: Process 5" o:spid="_x0000_s1030" type="#_x0000_t109" style="position:absolute;left:2943720;top:595800;width:2365200;height:1028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v7MQA&#10;AADaAAAADwAAAGRycy9kb3ducmV2LnhtbESPQWsCMRSE74X+h/AKvRTNWtoqq1FsodBjXYt4fG6e&#10;2dXNy5Kku+u/N4WCx2FmvmEWq8E2oiMfascKJuMMBHHpdM1Gwc/2czQDESKyxsYxKbhQgNXy/m6B&#10;uXY9b6grohEJwiFHBVWMbS5lKCuyGMauJU7e0XmLMUlvpPbYJ7ht5HOWvUmLNaeFClv6qKg8F79W&#10;gTHT07s/1H23edl975/2M9kVpVKPD8N6DiLSEG/h//aXVvAK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b+zEAAAA2gAAAA8AAAAAAAAAAAAAAAAAmAIAAGRycy9k&#10;b3ducmV2LnhtbFBLBQYAAAAABAAEAPUAAACJAwAAAAA=&#10;" fillcolor="white [3201]" strokecolor="black [3200]" strokeweight="1pt">
                  <v:textbox>
                    <w:txbxContent>
                      <w:p w14:paraId="56B35A07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247,435</w:t>
                        </w:r>
                      </w:p>
                      <w:p w14:paraId="39919C0E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  <w:p w14:paraId="221C92F0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Births excluded due to missing data (n = 236,381) or unreliable observations (n =11,054)</w:t>
                        </w:r>
                      </w:p>
                    </w:txbxContent>
                  </v:textbox>
                </v:shape>
                <v:shape id="Flowchart: Process 6" o:spid="_x0000_s1031" type="#_x0000_t109" style="position:absolute;top:1299960;width:2473200;height:896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xm8MA&#10;AADaAAAADwAAAGRycy9kb3ducmV2LnhtbESPQWsCMRSE7wX/Q3iCl6JZpaisRmmFQo91W8Tjc/PM&#10;rm5eliTd3f77plDocZiZb5jtfrCN6MiH2rGC+SwDQVw6XbNR8PnxOl2DCBFZY+OYFHxTgP1u9LDF&#10;XLuej9QV0YgE4ZCjgirGNpcylBVZDDPXEifv6rzFmKQ3UnvsE9w2cpFlS2mx5rRQYUuHisp78WUV&#10;GLO6vfhL3XfHp9P7+fG8ll1RKjUZD88bEJGG+B/+a79pBU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Dxm8MAAADaAAAADwAAAAAAAAAAAAAAAACYAgAAZHJzL2Rv&#10;d25yZXYueG1sUEsFBgAAAAAEAAQA9QAAAIgDAAAAAA==&#10;" fillcolor="white [3201]" strokecolor="black [3200]" strokeweight="1pt">
                  <v:textbox>
                    <w:txbxContent>
                      <w:p w14:paraId="07731F74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17,254,624</w:t>
                        </w:r>
                      </w:p>
                      <w:p w14:paraId="668A5DC9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  <w:p w14:paraId="653CCE25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Live, singleton births 1986-2012 analysed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832909" w14:textId="77777777" w:rsidR="00C63549" w:rsidRDefault="00C63549">
      <w:pPr>
        <w:widowControl w:val="0"/>
        <w:spacing w:after="140" w:line="288" w:lineRule="auto"/>
        <w:rPr>
          <w:rFonts w:asciiTheme="majorHAnsi" w:hAnsiTheme="majorHAnsi" w:cstheme="majorHAnsi"/>
          <w:b/>
          <w:szCs w:val="22"/>
          <w:lang w:val="en-GB"/>
        </w:rPr>
      </w:pPr>
    </w:p>
    <w:p w14:paraId="74CA28F7" w14:textId="77777777" w:rsidR="00C63549" w:rsidRDefault="00622AFF">
      <w:pPr>
        <w:widowControl w:val="0"/>
        <w:spacing w:after="140" w:line="288" w:lineRule="auto"/>
        <w:rPr>
          <w:rFonts w:asciiTheme="majorHAnsi" w:hAnsiTheme="majorHAnsi" w:cstheme="majorHAnsi"/>
          <w:b/>
          <w:szCs w:val="22"/>
          <w:lang w:val="en-GB"/>
        </w:rPr>
      </w:pPr>
      <w:r>
        <w:rPr>
          <w:rFonts w:asciiTheme="majorHAnsi" w:hAnsiTheme="majorHAnsi" w:cstheme="majorHAnsi"/>
          <w:b/>
          <w:szCs w:val="22"/>
          <w:lang w:val="en-GB"/>
        </w:rPr>
        <w:t>1b: NN4B</w:t>
      </w:r>
    </w:p>
    <w:p w14:paraId="0A927EC0" w14:textId="77777777" w:rsidR="00C63549" w:rsidRDefault="00622AFF">
      <w:pPr>
        <w:widowControl w:val="0"/>
        <w:spacing w:after="140" w:line="288" w:lineRule="auto"/>
        <w:rPr>
          <w:rFonts w:asciiTheme="majorHAnsi" w:hAnsiTheme="majorHAnsi" w:cstheme="majorHAnsi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CD5CBD0" wp14:editId="70F8B124">
                <wp:extent cx="5271135" cy="28130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400" cy="2812320"/>
                          <a:chOff x="0" y="0"/>
                          <a:chExt cx="0" cy="0"/>
                        </a:xfrm>
                      </wpg:grpSpPr>
                      <wps:wsp>
                        <wps:cNvPr id="8" name="Flowchart: Process 8"/>
                        <wps:cNvSpPr/>
                        <wps:spPr>
                          <a:xfrm>
                            <a:off x="0" y="0"/>
                            <a:ext cx="2455560" cy="819000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14:paraId="41E804AD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4,786,396</w:t>
                              </w:r>
                            </w:p>
                            <w:p w14:paraId="7D084626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  <w:p w14:paraId="41780FD3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Live, singleton births 2006-2012 extracted</w:t>
                              </w:r>
                            </w:p>
                            <w:p w14:paraId="3603DA69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  <w:p w14:paraId="4CDEAFEE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227960" y="819000"/>
                            <a:ext cx="12240" cy="11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240920" y="1402560"/>
                            <a:ext cx="1678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lowchart: Process 11"/>
                        <wps:cNvSpPr/>
                        <wps:spPr>
                          <a:xfrm>
                            <a:off x="2922120" y="915120"/>
                            <a:ext cx="2348280" cy="1047240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14:paraId="051DD6D6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Births excluded due to missing data or unreliable observations (n =77,627)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0" y="1996560"/>
                            <a:ext cx="2455560" cy="816120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14:paraId="527DE9FC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4,708,769</w:t>
                              </w:r>
                            </w:p>
                            <w:p w14:paraId="43864456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</w:p>
                            <w:p w14:paraId="10F85E47" w14:textId="77777777" w:rsidR="007C014D" w:rsidRDefault="007C014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GB" w:eastAsia="en-US"/>
                                </w:rPr>
                                <w:t>Live, singleton births 2006-2012 analysed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5CBD0" id="Group 7" o:spid="_x0000_s1032" style="width:415.05pt;height:221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">
                <v:shape id="Flowchart: Process 8" o:spid="_x0000_s1033" type="#_x0000_t109" style="position:absolute;width:2455560;height:81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AcsAA&#10;AADaAAAADwAAAGRycy9kb3ducmV2LnhtbERPz2vCMBS+D/wfwhN2GTPdGFo6o+hgsOOsIh7fmre0&#10;2ryUJGu7/94cBI8f3+/lerSt6MmHxrGCl1kGgrhyumGj4LD/fM5BhIissXVMCv4pwHo1eVhiod3A&#10;O+rLaEQK4VCggjrGrpAyVDVZDDPXESfu13mLMUFvpPY4pHDbytcsm0uLDaeGGjv6qKm6lH9WgTGL&#10;89b/NEO/ezt+n55OuezLSqnH6bh5BxFpjHfxzf2lFaSt6Uq6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PAcsAAAADaAAAADwAAAAAAAAAAAAAAAACYAgAAZHJzL2Rvd25y&#10;ZXYueG1sUEsFBgAAAAAEAAQA9QAAAIUDAAAAAA==&#10;" fillcolor="white [3201]" strokecolor="black [3200]" strokeweight="1pt">
                  <v:textbox>
                    <w:txbxContent>
                      <w:p w14:paraId="41E804AD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4,786,396</w:t>
                        </w:r>
                      </w:p>
                      <w:p w14:paraId="7D084626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  <w:p w14:paraId="41780FD3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Live, singleton births 2006-2012 extracted</w:t>
                        </w:r>
                      </w:p>
                      <w:p w14:paraId="3603DA69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  <w:p w14:paraId="4CDEAFEE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shape>
                <v:polyline id="Freeform: Shape 9" o:spid="_x0000_s1034" style="position:absolute;visibility:visible;mso-wrap-style:square;v-text-anchor:top" points="1227960,819000,1249560,840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S8MA&#10;AADaAAAADwAAAGRycy9kb3ducmV2LnhtbESPS2vDMBCE74X8B7GB3ho5OYTEtRJCINASg6nT9rxY&#10;6wexVsaSH/33UaHQ4zAz3zDJcTatGKl3jWUF61UEgriwuuFKweft8rID4TyyxtYyKfghB8fD4inB&#10;WNuJP2jMfSUChF2MCmrvu1hKV9Rk0K1sRxy80vYGfZB9JXWPU4CbVm6iaCsNNhwWauzoXFNxzwej&#10;YEqL+7XcpEOWZu9f9jvbp7nVSj0v59MrCE+z/w//td+0gj38Xgk3QB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rmS8MAAADaAAAADwAAAAAAAAAAAAAAAACYAgAAZHJzL2Rv&#10;d25yZXYueG1sUEsFBgAAAAAEAAQA9QAAAIgDAAAAAA==&#10;" fillcolor="white [3201]" strokecolor="black [3200]" strokeweight="1pt">
                  <v:stroke endarrow="open" joinstyle="miter"/>
                  <v:path arrowok="t"/>
                </v:polyline>
                <v:polyline id="Freeform: Shape 10" o:spid="_x0000_s1035" style="position:absolute;visibility:visible;mso-wrap-style:square;v-text-anchor:top" points="1240920,1402560,1262520,142416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BkMMA&#10;AADbAAAADwAAAGRycy9kb3ducmV2LnhtbESPQWvCQBCF70L/wzKCN93oQWzqKqVQaDEQGtueh+yY&#10;BLOzIbua+O+dg+BthvfmvW+2+9G16kp9aDwbWC4SUMSltw1XBn6Pn/MNqBCRLbaeycCNAux3L5Mt&#10;ptYP/EPXIlZKQjikaKCOsUu1DmVNDsPCd8SinXzvMMraV9r2OEi4a/UqSdbaYcPSUGNHHzWV5+Li&#10;DAxZeT6cVtklz/LvP/+fv2aFt8bMpuP7G6hIY3yaH9dfVvCFX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BkMMAAADbAAAADwAAAAAAAAAAAAAAAACYAgAAZHJzL2Rv&#10;d25yZXYueG1sUEsFBgAAAAAEAAQA9QAAAIgDAAAAAA==&#10;" fillcolor="white [3201]" strokecolor="black [3200]" strokeweight="1pt">
                  <v:stroke endarrow="open" joinstyle="miter"/>
                  <v:path arrowok="t"/>
                </v:polyline>
                <v:shape id="Flowchart: Process 11" o:spid="_x0000_s1036" type="#_x0000_t109" style="position:absolute;left:2922120;top:915120;width:2348280;height:104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nz8IA&#10;AADbAAAADwAAAGRycy9kb3ducmV2LnhtbERP32vCMBB+H/g/hBP2MmbqkCnVKNtgsEetIj7emjPt&#10;1lxKkrX1vzeCsLf7+H7eajPYRnTkQ+1YwXSSgSAuna7ZKDjsP58XIEJE1tg4JgUXCrBZjx5WmGvX&#10;8466IhqRQjjkqKCKsc2lDGVFFsPEtcSJOztvMSbojdQe+xRuG/mSZa/SYs2pocKWPioqf4s/q8CY&#10;+c+7/677bjc7bk9Pp4XsilKpx/HwtgQRaYj/4rv7S6f5U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qfPwgAAANsAAAAPAAAAAAAAAAAAAAAAAJgCAABkcnMvZG93&#10;bnJldi54bWxQSwUGAAAAAAQABAD1AAAAhwMAAAAA&#10;" fillcolor="white [3201]" strokecolor="black [3200]" strokeweight="1pt">
                  <v:textbox>
                    <w:txbxContent>
                      <w:p w14:paraId="051DD6D6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Births excluded due to missing data or unreliable observations (n =77,627)</w:t>
                        </w:r>
                      </w:p>
                    </w:txbxContent>
                  </v:textbox>
                </v:shape>
                <v:shape id="Flowchart: Process 12" o:spid="_x0000_s1037" type="#_x0000_t109" style="position:absolute;top:1996560;width:2455560;height:81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 fillcolor="white [3201]" strokecolor="black [3200]" strokeweight="1pt">
                  <v:textbox>
                    <w:txbxContent>
                      <w:p w14:paraId="527DE9FC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4,708,769</w:t>
                        </w:r>
                      </w:p>
                      <w:p w14:paraId="43864456" w14:textId="77777777" w:rsidR="007C014D" w:rsidRDefault="007C014D">
                        <w:pPr>
                          <w:overflowPunct w:val="0"/>
                          <w:jc w:val="center"/>
                        </w:pPr>
                      </w:p>
                      <w:p w14:paraId="10F85E47" w14:textId="77777777" w:rsidR="007C014D" w:rsidRDefault="007C014D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Theme="minorHAnsi" w:hAnsi="Calibri" w:cstheme="minorBidi"/>
                            <w:color w:val="000000"/>
                            <w:sz w:val="22"/>
                            <w:szCs w:val="22"/>
                            <w:lang w:val="en-GB" w:eastAsia="en-US"/>
                          </w:rPr>
                          <w:t>Live, singleton births 2006-2012 analysed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53855" w14:textId="77777777" w:rsidR="00C63549" w:rsidRDefault="00622AFF">
      <w:pPr>
        <w:rPr>
          <w:rFonts w:asciiTheme="majorHAnsi" w:hAnsiTheme="majorHAnsi" w:cstheme="majorHAnsi"/>
          <w:b/>
          <w:iCs/>
          <w:color w:val="44546A" w:themeColor="text2"/>
          <w:szCs w:val="22"/>
          <w:lang w:val="en-GB"/>
        </w:rPr>
      </w:pPr>
      <w:r>
        <w:br w:type="page"/>
      </w:r>
    </w:p>
    <w:p w14:paraId="161EF1A5" w14:textId="77777777" w:rsidR="00C63549" w:rsidRDefault="00622AFF">
      <w:r>
        <w:rPr>
          <w:rFonts w:asciiTheme="majorHAnsi" w:hAnsiTheme="majorHAnsi" w:cstheme="majorHAnsi"/>
          <w:b/>
          <w:sz w:val="22"/>
          <w:lang w:val="en-GB"/>
        </w:rPr>
        <w:lastRenderedPageBreak/>
        <w:t xml:space="preserve">Supplemental 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 xml:space="preserve">table 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>: ONS births characteristics of included and excluded in analysis (1986 and 2012)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3905"/>
        <w:gridCol w:w="2103"/>
        <w:gridCol w:w="1850"/>
        <w:gridCol w:w="1168"/>
      </w:tblGrid>
      <w:tr w:rsidR="00C63549" w14:paraId="7987E27F" w14:textId="77777777" w:rsidTr="00C6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auto"/>
          </w:tcPr>
          <w:p w14:paraId="3C28F579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Characteristics </w:t>
            </w:r>
          </w:p>
        </w:tc>
        <w:tc>
          <w:tcPr>
            <w:tcW w:w="2103" w:type="dxa"/>
            <w:shd w:val="clear" w:color="auto" w:fill="auto"/>
          </w:tcPr>
          <w:p w14:paraId="0A5DF515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Included </w:t>
            </w:r>
          </w:p>
          <w:p w14:paraId="518FDD1A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(n = 17,254,624)</w:t>
            </w:r>
          </w:p>
        </w:tc>
        <w:tc>
          <w:tcPr>
            <w:tcW w:w="1850" w:type="dxa"/>
            <w:shd w:val="clear" w:color="auto" w:fill="auto"/>
          </w:tcPr>
          <w:p w14:paraId="17220A4F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Excluded </w:t>
            </w:r>
          </w:p>
          <w:p w14:paraId="0FF246B4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(n = 247,435)</w:t>
            </w:r>
          </w:p>
        </w:tc>
        <w:tc>
          <w:tcPr>
            <w:tcW w:w="1168" w:type="dxa"/>
            <w:shd w:val="clear" w:color="auto" w:fill="auto"/>
          </w:tcPr>
          <w:p w14:paraId="5C8F1E3D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P-value*</w:t>
            </w:r>
          </w:p>
        </w:tc>
      </w:tr>
      <w:tr w:rsidR="00C63549" w14:paraId="707BD92B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092842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Female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35A4B37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48.7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A042B5D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48.6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0052F8" w14:textId="5AB45ABA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0.3</w:t>
            </w:r>
          </w:p>
        </w:tc>
      </w:tr>
      <w:tr w:rsidR="00C63549" w14:paraId="7E9812F8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474819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Mean birth weight (g)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A5BC1F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3354.9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02EF7AF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3316.6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E0C951" w14:textId="5409887B" w:rsidR="00C63549" w:rsidRDefault="00622AFF" w:rsidP="007C014D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  <w:r w:rsidR="007C014D" w:rsidDel="007C014D">
              <w:rPr>
                <w:rStyle w:val="CommentReference"/>
                <w:color w:val="auto"/>
              </w:rPr>
              <w:t xml:space="preserve"> </w:t>
            </w:r>
          </w:p>
        </w:tc>
      </w:tr>
      <w:tr w:rsidR="00C63549" w14:paraId="14589660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1CBF89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Maternal age group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ECC5F6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732403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398964" w14:textId="0CC5BAA4" w:rsidR="00C63549" w:rsidRDefault="00622AFF" w:rsidP="007C014D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0E0075CE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8D9A92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&lt;20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46FA7A2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7.1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A7ECE77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6.9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C37230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61F68014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B4158F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20-24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1ABF1DC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21.3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C6A2F69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21.9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A9823E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7FB538FF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9C6D43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25-29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4186FB1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30.5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881B6AA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32.1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4957AD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540ECAB0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5894D5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30-34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529581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26.6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E3E65CE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25.7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D47810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22E1E7BE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82A9B6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35-39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B59AE8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12.1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B04B6C8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11.1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E50447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1F5D2055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843698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≥40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E2F4581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2.5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8A2900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2.3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53B53F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33652758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AE2CAD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Marital status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F4D3D7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6FEDFF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0A121A" w14:textId="1895E4E5" w:rsidR="00C63549" w:rsidRDefault="00622AFF" w:rsidP="007C014D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0F9EE4EB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A321C7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Married.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539BB8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62.7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89C62B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66.0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846837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C63549" w14:paraId="2DB52822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C0C42A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Not married, single registration.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327352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7EF87D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8.1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0FBC3D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47FB554B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D16E21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Not married, co-registration, parents co-habiting.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27AB04C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22.7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7CA11F4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18.4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1F75E9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77D52CCC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03FC96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Not married, co-registration, parents living on different address.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FDADE9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7.5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6056597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7.5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171033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68EA1459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2477C2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Carstairs 2001 quintile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132BD0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849857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D509E9" w14:textId="497AEB53" w:rsidR="00C63549" w:rsidRDefault="00622AFF" w:rsidP="007C014D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29C165E4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1B78F7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3FC8560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17.3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995B893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14.4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D6AD41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168B6697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6E960B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7F295E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18.0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62E147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16.0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692A60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2299CA50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EB6DCB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EDFF4C3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19.2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0BDCBF6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18.7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465E3B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0C11AE26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F3207B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A31B1C1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20.2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F7CECE4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21.0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98B982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433285E1" w14:textId="77777777" w:rsidTr="00C635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52919E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A91B84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25.3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914483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29.9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FE19DA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23FCDD82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</w:tcPr>
          <w:p w14:paraId="0446DFBC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Mean non-white area-level ethnicity (%)</w:t>
            </w:r>
          </w:p>
        </w:tc>
        <w:tc>
          <w:tcPr>
            <w:tcW w:w="2103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  <w:vAlign w:val="center"/>
          </w:tcPr>
          <w:p w14:paraId="2E01DE5A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11.3</w:t>
            </w:r>
          </w:p>
        </w:tc>
        <w:tc>
          <w:tcPr>
            <w:tcW w:w="1850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  <w:vAlign w:val="center"/>
          </w:tcPr>
          <w:p w14:paraId="18BBFF3C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15.5</w:t>
            </w:r>
          </w:p>
        </w:tc>
        <w:tc>
          <w:tcPr>
            <w:tcW w:w="1168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</w:tcPr>
          <w:p w14:paraId="7F3B60C8" w14:textId="0BA2A998" w:rsidR="00C63549" w:rsidRDefault="00622AFF" w:rsidP="007C014D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</w:tbl>
    <w:p w14:paraId="36CA79A7" w14:textId="77777777" w:rsidR="00C63549" w:rsidRDefault="00622AFF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>
        <w:rPr>
          <w:rFonts w:asciiTheme="majorHAnsi" w:hAnsiTheme="majorHAnsi" w:cstheme="majorHAnsi"/>
          <w:i/>
          <w:sz w:val="20"/>
          <w:szCs w:val="20"/>
          <w:lang w:val="en-GB"/>
        </w:rPr>
        <w:t xml:space="preserve">*Test for difference performed using chi-square for categorical variables and t-test for continuous variables. </w:t>
      </w:r>
    </w:p>
    <w:p w14:paraId="10A9C2B4" w14:textId="77777777" w:rsidR="00C63549" w:rsidRDefault="00C63549">
      <w:pPr>
        <w:widowControl w:val="0"/>
        <w:spacing w:after="140" w:line="288" w:lineRule="auto"/>
        <w:rPr>
          <w:rFonts w:asciiTheme="majorHAnsi" w:hAnsiTheme="majorHAnsi" w:cstheme="majorHAnsi"/>
          <w:szCs w:val="22"/>
          <w:lang w:val="en-GB"/>
        </w:rPr>
      </w:pPr>
    </w:p>
    <w:p w14:paraId="5B9F2E5C" w14:textId="77777777" w:rsidR="00C63549" w:rsidRDefault="00622AFF">
      <w:pPr>
        <w:rPr>
          <w:rFonts w:asciiTheme="majorHAnsi" w:hAnsiTheme="majorHAnsi" w:cstheme="majorHAnsi"/>
          <w:szCs w:val="22"/>
          <w:lang w:val="en-GB"/>
        </w:rPr>
      </w:pPr>
      <w:r>
        <w:br w:type="page"/>
      </w:r>
    </w:p>
    <w:p w14:paraId="04C25764" w14:textId="77777777" w:rsidR="00C63549" w:rsidRDefault="00622AFF">
      <w:pPr>
        <w:rPr>
          <w:rFonts w:asciiTheme="majorHAnsi" w:hAnsiTheme="majorHAnsi" w:cstheme="majorHAnsi"/>
          <w:b/>
          <w:color w:val="000000" w:themeColor="text1"/>
          <w:sz w:val="22"/>
          <w:lang w:val="en-GB"/>
        </w:rPr>
      </w:pPr>
      <w:r>
        <w:rPr>
          <w:rFonts w:asciiTheme="majorHAnsi" w:hAnsiTheme="majorHAnsi" w:cstheme="majorHAnsi"/>
          <w:b/>
          <w:sz w:val="22"/>
          <w:lang w:val="en-GB"/>
        </w:rPr>
        <w:t xml:space="preserve">Supplemental 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>table 2: NN4B characteristics of included and excluded in analysis (2006 and 2012)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3905"/>
        <w:gridCol w:w="2103"/>
        <w:gridCol w:w="1850"/>
        <w:gridCol w:w="1168"/>
      </w:tblGrid>
      <w:tr w:rsidR="00C63549" w14:paraId="3F6549D3" w14:textId="77777777" w:rsidTr="00C6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auto"/>
          </w:tcPr>
          <w:p w14:paraId="2E9F543F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Characteristics </w:t>
            </w:r>
          </w:p>
        </w:tc>
        <w:tc>
          <w:tcPr>
            <w:tcW w:w="2103" w:type="dxa"/>
            <w:shd w:val="clear" w:color="auto" w:fill="auto"/>
          </w:tcPr>
          <w:p w14:paraId="316FC237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Included </w:t>
            </w:r>
          </w:p>
          <w:p w14:paraId="277A7CD7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(n = 4,708,769)</w:t>
            </w:r>
          </w:p>
        </w:tc>
        <w:tc>
          <w:tcPr>
            <w:tcW w:w="1850" w:type="dxa"/>
            <w:shd w:val="clear" w:color="auto" w:fill="auto"/>
          </w:tcPr>
          <w:p w14:paraId="21141B2D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Excluded </w:t>
            </w:r>
          </w:p>
          <w:p w14:paraId="1B634360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(n = 77,627)</w:t>
            </w:r>
          </w:p>
        </w:tc>
        <w:tc>
          <w:tcPr>
            <w:tcW w:w="1168" w:type="dxa"/>
            <w:shd w:val="clear" w:color="auto" w:fill="auto"/>
          </w:tcPr>
          <w:p w14:paraId="4A1C6BED" w14:textId="77777777" w:rsidR="00C63549" w:rsidRDefault="00622AFF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P-value*</w:t>
            </w:r>
          </w:p>
        </w:tc>
      </w:tr>
      <w:tr w:rsidR="00C63549" w14:paraId="66AA9319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CDFE9E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Female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ADBA82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48.7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D8CF29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48.5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90521B" w14:textId="7A50E8E8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0.2</w:t>
            </w:r>
          </w:p>
        </w:tc>
      </w:tr>
      <w:tr w:rsidR="00C63549" w14:paraId="0B00E655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DA1640" w14:textId="0D04116F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Mean birthweight (g)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946BDF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3371.4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FAFC96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3234.7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8F7A3" w14:textId="701D7A41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1A8470A9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91149C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Maternal age group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D07453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0B4AD9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43579A" w14:textId="35E812E3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2F800B37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E2C255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&lt;20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4626E6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5.9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4F0E3C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7.4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E1F4FB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22983C4D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3B0223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20-24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CDEBA8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19.1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D657EF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21.5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F845BC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7EB38D5E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4E2B51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25-29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E097FE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27.3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33D5BF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27.4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9BDE80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4AB3E11E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434A2E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30-34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81AA71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28.0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7481D3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25.7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A54E25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44800658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D02984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35-39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D5A330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16.0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E25A8D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14.4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B8C590" w14:textId="77777777" w:rsidR="00C63549" w:rsidRDefault="00C6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2F5D5105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80406C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≥40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346300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3.7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C6C2E8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3.6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2FF1D5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52CE0458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A0216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Marital status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2ED497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9E9373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8B8084" w14:textId="2329714C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45027B94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898D3E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Married.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FC653A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54.0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C45CE1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49.9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2BF27D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C63549" w14:paraId="780ED4B5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4BB243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Not married, single registration.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02717B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6.2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C85DEA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8.0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C7B8F1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4346AD09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0317D1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Not married, co-registration, parents co-habiting.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B594B3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30.2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1686E5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30.12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41E04C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0B9C8903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68FB8E" w14:textId="77777777" w:rsidR="00C63549" w:rsidRDefault="00622AFF">
            <w:pPr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Not married, co-registration, parents living on different address.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871C6D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9.7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5A5106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12.0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E31B57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070E5949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40F89B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Carstairs 2001 quintile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8E14D8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C287B2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DCA0B8" w14:textId="07EC3A7E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21152CF1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83FFF7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FF7447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16.5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1CC7EC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13.9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2E7396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1C9E19B7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69DF29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A2F7EB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17.2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0DCBEA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14.4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5485CE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4046FE5B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4D3ED8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70DB9B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19.5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A59BF4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17.7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5CC6E4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6111609B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98C79D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2EDB14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21.2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9770A6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20.3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C956BC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013D834A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B4133D" w14:textId="77777777" w:rsidR="00C63549" w:rsidRDefault="00622AFF">
            <w:pPr>
              <w:tabs>
                <w:tab w:val="left" w:pos="142"/>
              </w:tabs>
              <w:ind w:left="142"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5311CF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25.6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DEF568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33.7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79945E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3231FF4C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E256A5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Mean non-white area-level ethnicity (%)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22CA97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12.0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C2CF3E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12.7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95718C" w14:textId="0C8CAB00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07BC97C4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1BCE9E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Individual ethnicity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D24C3B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C33C30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E8E597" w14:textId="0B88CD76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C63549" w14:paraId="3FD81BAE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16FFBC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White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5DBEB7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77.0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6A5024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74.9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9150DD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14553137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AAC38B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Black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1C8377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5.4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EC2925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6.2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F36423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009245A1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4DBBB0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Asian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261076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10.2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5265EE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11.0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1D42A3" w14:textId="77777777" w:rsidR="00C63549" w:rsidRDefault="00C6354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6ABF65D0" w14:textId="77777777" w:rsidTr="00C635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85DFDF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EA3232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7.3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9498BE" w14:textId="77777777" w:rsidR="00C63549" w:rsidRDefault="00622AFF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7.8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B46CD0" w14:textId="77777777" w:rsidR="00C63549" w:rsidRDefault="00C63549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</w:p>
        </w:tc>
      </w:tr>
      <w:tr w:rsidR="00C63549" w14:paraId="38391843" w14:textId="77777777" w:rsidTr="00C6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</w:tcPr>
          <w:p w14:paraId="4BB1DF50" w14:textId="77777777" w:rsidR="00C63549" w:rsidRDefault="00622AFF">
            <w:pPr>
              <w:ind w:hanging="10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Mean gestational age (weeks)</w:t>
            </w:r>
          </w:p>
        </w:tc>
        <w:tc>
          <w:tcPr>
            <w:tcW w:w="2103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</w:tcPr>
          <w:p w14:paraId="01D0D87B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39.3</w:t>
            </w:r>
          </w:p>
        </w:tc>
        <w:tc>
          <w:tcPr>
            <w:tcW w:w="1850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</w:tcPr>
          <w:p w14:paraId="440DA70C" w14:textId="77777777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38.0</w:t>
            </w:r>
          </w:p>
        </w:tc>
        <w:tc>
          <w:tcPr>
            <w:tcW w:w="1168" w:type="dxa"/>
            <w:tcBorders>
              <w:top w:val="nil"/>
              <w:bottom w:val="single" w:sz="4" w:space="0" w:color="2E74B5"/>
            </w:tcBorders>
            <w:shd w:val="clear" w:color="auto" w:fill="FFFFFF" w:themeFill="background1"/>
          </w:tcPr>
          <w:p w14:paraId="5ACE5253" w14:textId="1A3ECCA9" w:rsidR="00C63549" w:rsidRDefault="00622AFF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</w:tbl>
    <w:p w14:paraId="0164A194" w14:textId="77777777" w:rsidR="00C63549" w:rsidRDefault="00622AFF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>
        <w:rPr>
          <w:rFonts w:asciiTheme="majorHAnsi" w:hAnsiTheme="majorHAnsi" w:cstheme="majorHAnsi"/>
          <w:i/>
          <w:sz w:val="20"/>
          <w:szCs w:val="20"/>
          <w:lang w:val="en-GB"/>
        </w:rPr>
        <w:t xml:space="preserve">*Test for difference performed using chi-square for categorical variables and t-test for continuous variables. </w:t>
      </w:r>
    </w:p>
    <w:p w14:paraId="7AF760D9" w14:textId="77777777" w:rsidR="007C014D" w:rsidRDefault="007C014D"/>
    <w:p w14:paraId="09A1D728" w14:textId="77777777" w:rsidR="007C014D" w:rsidRDefault="007C014D"/>
    <w:p w14:paraId="20C7D51A" w14:textId="77777777" w:rsidR="007C014D" w:rsidRDefault="007C014D"/>
    <w:p w14:paraId="7F4B6E52" w14:textId="1941A9A3" w:rsidR="007C014D" w:rsidRPr="00912FE2" w:rsidRDefault="007C014D" w:rsidP="007C014D">
      <w:pPr>
        <w:rPr>
          <w:rFonts w:ascii="Arial" w:hAnsi="Arial"/>
          <w:sz w:val="22"/>
          <w:szCs w:val="22"/>
        </w:rPr>
      </w:pPr>
      <w:r w:rsidRPr="00912FE2">
        <w:rPr>
          <w:rFonts w:ascii="Calibri Light" w:hAnsi="Calibri Light" w:cs="Calibri Light"/>
          <w:b/>
          <w:sz w:val="22"/>
          <w:szCs w:val="22"/>
          <w:lang w:val="en-GB"/>
        </w:rPr>
        <w:t>Supplemental t</w:t>
      </w:r>
      <w:r w:rsidRPr="00912FE2">
        <w:rPr>
          <w:rFonts w:ascii="Calibri Light" w:hAnsi="Calibri Light" w:cs="Calibri Light"/>
          <w:b/>
          <w:color w:val="000000"/>
          <w:sz w:val="22"/>
          <w:szCs w:val="22"/>
          <w:lang w:val="en-GB"/>
        </w:rPr>
        <w:t xml:space="preserve">able </w:t>
      </w:r>
      <w:r>
        <w:rPr>
          <w:rFonts w:ascii="Calibri Light" w:hAnsi="Calibri Light" w:cs="Calibri Light"/>
          <w:b/>
          <w:color w:val="000000"/>
          <w:sz w:val="22"/>
          <w:szCs w:val="22"/>
          <w:lang w:val="en-GB"/>
        </w:rPr>
        <w:t>3</w:t>
      </w:r>
      <w:r w:rsidRPr="00912FE2">
        <w:rPr>
          <w:rFonts w:ascii="Calibri Light" w:hAnsi="Calibri Light" w:cs="Calibri Light"/>
          <w:b/>
          <w:color w:val="000000"/>
          <w:sz w:val="22"/>
          <w:szCs w:val="22"/>
          <w:lang w:val="en-GB"/>
        </w:rPr>
        <w:t xml:space="preserve">: Risks of being born pre-term </w:t>
      </w:r>
      <w:r w:rsidRPr="00912FE2">
        <w:rPr>
          <w:rFonts w:ascii="Calibri Light" w:hAnsi="Calibri Light" w:cs="Calibri Light"/>
          <w:b/>
          <w:sz w:val="22"/>
          <w:szCs w:val="22"/>
          <w:lang w:val="en-GB"/>
        </w:rPr>
        <w:t>in all, live singleton births 2006-2012 (NN4B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3491"/>
        <w:gridCol w:w="3498"/>
      </w:tblGrid>
      <w:tr w:rsidR="007C014D" w:rsidRPr="005B4EB9" w14:paraId="07A375E6" w14:textId="77777777" w:rsidTr="007C014D">
        <w:tc>
          <w:tcPr>
            <w:tcW w:w="1124" w:type="pct"/>
            <w:shd w:val="clear" w:color="auto" w:fill="auto"/>
          </w:tcPr>
          <w:p w14:paraId="0BD44BFC" w14:textId="77777777" w:rsidR="007C014D" w:rsidRPr="005B4EB9" w:rsidRDefault="007C014D" w:rsidP="007C014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6" w:type="pct"/>
            <w:shd w:val="clear" w:color="auto" w:fill="auto"/>
            <w:vAlign w:val="center"/>
          </w:tcPr>
          <w:p w14:paraId="6A73B053" w14:textId="77777777" w:rsidR="007C014D" w:rsidRPr="005B4EB9" w:rsidRDefault="007C014D" w:rsidP="007C014D">
            <w:pP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5B4EB9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Unadjusted </w:t>
            </w:r>
            <w:r w:rsidRPr="005B4EB9">
              <w:rPr>
                <w:rFonts w:asciiTheme="minorHAnsi" w:eastAsia="MS Mincho" w:hAnsiTheme="minorHAnsi" w:cstheme="minorHAnsi"/>
                <w:b/>
                <w:color w:val="000000"/>
                <w:sz w:val="20"/>
                <w:szCs w:val="20"/>
              </w:rPr>
              <w:t>yearly Odds Ratio</w:t>
            </w:r>
            <w:r w:rsidRPr="005B4E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[95% CI]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73405FAD" w14:textId="77777777" w:rsidR="007C014D" w:rsidRPr="005B4EB9" w:rsidRDefault="007C014D" w:rsidP="007C014D">
            <w:pP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5B4E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Adjusted</w:t>
            </w:r>
            <w:r w:rsidRPr="005B4E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5B4EB9">
              <w:rPr>
                <w:rFonts w:asciiTheme="minorHAnsi" w:eastAsia="MS Mincho" w:hAnsiTheme="minorHAnsi" w:cstheme="minorHAnsi"/>
                <w:b/>
                <w:color w:val="000000"/>
                <w:sz w:val="20"/>
                <w:szCs w:val="20"/>
              </w:rPr>
              <w:t>yearly Odds Ratio</w:t>
            </w:r>
            <w:r w:rsidRPr="005B4E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[95% CI]</w:t>
            </w:r>
          </w:p>
        </w:tc>
      </w:tr>
      <w:tr w:rsidR="007C014D" w:rsidRPr="005B4EB9" w14:paraId="730B436C" w14:textId="77777777" w:rsidTr="007C014D">
        <w:tc>
          <w:tcPr>
            <w:tcW w:w="5000" w:type="pct"/>
            <w:gridSpan w:val="3"/>
            <w:shd w:val="clear" w:color="auto" w:fill="auto"/>
          </w:tcPr>
          <w:p w14:paraId="24EEAA62" w14:textId="77777777" w:rsidR="007C014D" w:rsidRPr="005B4EB9" w:rsidRDefault="007C014D" w:rsidP="007C014D">
            <w:pPr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0"/>
                <w:szCs w:val="20"/>
              </w:rPr>
            </w:pPr>
            <w:r w:rsidRPr="005B4EB9">
              <w:rPr>
                <w:rFonts w:asciiTheme="minorHAnsi" w:eastAsia="MS Mincho" w:hAnsiTheme="minorHAnsi" w:cstheme="minorHAnsi"/>
                <w:b/>
                <w:color w:val="000000"/>
                <w:sz w:val="20"/>
                <w:szCs w:val="20"/>
              </w:rPr>
              <w:t xml:space="preserve">NN4B 2006-2012 – </w:t>
            </w:r>
            <w:r w:rsidRPr="005B4EB9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All live, singleton births</w:t>
            </w:r>
            <w:r w:rsidRPr="005B4EB9">
              <w:rPr>
                <w:rFonts w:asciiTheme="minorHAnsi" w:eastAsia="MS Mincho" w:hAnsiTheme="minorHAnsi" w:cstheme="minorHAnsi"/>
                <w:b/>
                <w:color w:val="000000"/>
                <w:sz w:val="20"/>
                <w:szCs w:val="20"/>
              </w:rPr>
              <w:t xml:space="preserve"> - Pre-term</w:t>
            </w:r>
          </w:p>
        </w:tc>
      </w:tr>
      <w:tr w:rsidR="007C014D" w:rsidRPr="005B4EB9" w14:paraId="7F93C25B" w14:textId="77777777" w:rsidTr="007C014D">
        <w:tc>
          <w:tcPr>
            <w:tcW w:w="1124" w:type="pct"/>
            <w:shd w:val="clear" w:color="auto" w:fill="auto"/>
          </w:tcPr>
          <w:p w14:paraId="12266D90" w14:textId="77777777" w:rsidR="007C014D" w:rsidRPr="005B4EB9" w:rsidRDefault="007C014D" w:rsidP="007C014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5B4EB9">
              <w:rPr>
                <w:rFonts w:asciiTheme="minorHAnsi" w:eastAsia="MS Mincho" w:hAnsiTheme="minorHAnsi" w:cstheme="minorHAnsi"/>
                <w:sz w:val="20"/>
                <w:szCs w:val="20"/>
              </w:rPr>
              <w:t>Female</w:t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6745F35E" w14:textId="77777777" w:rsidR="007C014D" w:rsidRPr="005B4EB9" w:rsidRDefault="007C014D" w:rsidP="007C014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B4E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0.98 [0.98;0.98]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019656FC" w14:textId="77777777" w:rsidR="007C014D" w:rsidRPr="005B4EB9" w:rsidRDefault="007C014D" w:rsidP="007C014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B4E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0.98 [0.97;0.98] </w:t>
            </w:r>
          </w:p>
        </w:tc>
      </w:tr>
      <w:tr w:rsidR="007C014D" w:rsidRPr="005B4EB9" w14:paraId="5BB1F570" w14:textId="77777777" w:rsidTr="007C014D">
        <w:tc>
          <w:tcPr>
            <w:tcW w:w="1124" w:type="pct"/>
            <w:shd w:val="clear" w:color="auto" w:fill="auto"/>
          </w:tcPr>
          <w:p w14:paraId="629421D5" w14:textId="77777777" w:rsidR="007C014D" w:rsidRPr="005B4EB9" w:rsidRDefault="007C014D" w:rsidP="007C014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5B4EB9">
              <w:rPr>
                <w:rFonts w:asciiTheme="minorHAnsi" w:eastAsia="MS Mincho" w:hAnsiTheme="minorHAnsi" w:cstheme="minorHAnsi"/>
                <w:sz w:val="20"/>
                <w:szCs w:val="20"/>
              </w:rPr>
              <w:t>Male</w:t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67E2C8A9" w14:textId="77777777" w:rsidR="007C014D" w:rsidRPr="005B4EB9" w:rsidRDefault="007C014D" w:rsidP="007C014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B4E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0.98 [0.98;0.98] 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0238E4E6" w14:textId="77777777" w:rsidR="007C014D" w:rsidRPr="005B4EB9" w:rsidRDefault="007C014D" w:rsidP="007C014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B4E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0.97 [0.98;0.98]</w:t>
            </w:r>
          </w:p>
        </w:tc>
      </w:tr>
    </w:tbl>
    <w:p w14:paraId="5521B822" w14:textId="77777777" w:rsidR="007C014D" w:rsidRDefault="007C014D" w:rsidP="007C014D">
      <w:pPr>
        <w:pStyle w:val="Caption"/>
        <w:spacing w:after="0"/>
        <w:rPr>
          <w:rFonts w:cs="Cambria"/>
          <w:i w:val="0"/>
          <w:color w:val="000000"/>
          <w:sz w:val="20"/>
          <w:szCs w:val="24"/>
        </w:rPr>
      </w:pPr>
      <w:r w:rsidRPr="00E01ADF">
        <w:rPr>
          <w:rFonts w:cs="Cambria"/>
          <w:i w:val="0"/>
          <w:color w:val="000000"/>
          <w:sz w:val="20"/>
          <w:szCs w:val="24"/>
          <w:vertAlign w:val="superscript"/>
        </w:rPr>
        <w:t>1</w:t>
      </w:r>
      <w:r w:rsidRPr="00E01ADF">
        <w:rPr>
          <w:rFonts w:cs="Cambria"/>
          <w:i w:val="0"/>
          <w:color w:val="000000"/>
          <w:sz w:val="20"/>
          <w:szCs w:val="24"/>
        </w:rPr>
        <w:t xml:space="preserve">Adjusted for maternal age, marital status, area-level deprivation, </w:t>
      </w:r>
      <w:r>
        <w:rPr>
          <w:rFonts w:cs="Cambria"/>
          <w:i w:val="0"/>
          <w:color w:val="000000"/>
          <w:sz w:val="20"/>
          <w:szCs w:val="24"/>
        </w:rPr>
        <w:t xml:space="preserve">individual </w:t>
      </w:r>
      <w:r w:rsidRPr="00E01ADF">
        <w:rPr>
          <w:rFonts w:cs="Cambria"/>
          <w:i w:val="0"/>
          <w:color w:val="000000"/>
          <w:sz w:val="20"/>
          <w:szCs w:val="24"/>
        </w:rPr>
        <w:t>ethnicity</w:t>
      </w:r>
      <w:r>
        <w:rPr>
          <w:rFonts w:cs="Cambria"/>
          <w:i w:val="0"/>
          <w:color w:val="000000"/>
          <w:sz w:val="20"/>
          <w:szCs w:val="24"/>
        </w:rPr>
        <w:t xml:space="preserve"> </w:t>
      </w:r>
    </w:p>
    <w:p w14:paraId="55E89848" w14:textId="77777777" w:rsidR="007C014D" w:rsidRDefault="007C014D"/>
    <w:p w14:paraId="5726D8D9" w14:textId="77777777" w:rsidR="007C014D" w:rsidRDefault="007C014D"/>
    <w:p w14:paraId="75AA805B" w14:textId="77777777" w:rsidR="007C014D" w:rsidRDefault="007C014D">
      <w:pPr>
        <w:rPr>
          <w:rFonts w:asciiTheme="majorHAnsi" w:hAnsiTheme="majorHAnsi" w:cstheme="majorHAnsi"/>
          <w:b/>
          <w:sz w:val="22"/>
          <w:lang w:val="en-GB"/>
        </w:rPr>
      </w:pPr>
      <w:r>
        <w:rPr>
          <w:rFonts w:asciiTheme="majorHAnsi" w:hAnsiTheme="majorHAnsi" w:cstheme="majorHAnsi"/>
          <w:b/>
          <w:sz w:val="22"/>
          <w:lang w:val="en-GB"/>
        </w:rPr>
        <w:br w:type="page"/>
      </w:r>
    </w:p>
    <w:p w14:paraId="0859DCBE" w14:textId="763E29FC" w:rsidR="007C014D" w:rsidRDefault="007C014D" w:rsidP="007C014D">
      <w:pPr>
        <w:rPr>
          <w:rFonts w:asciiTheme="majorHAnsi" w:hAnsiTheme="majorHAnsi" w:cstheme="majorHAnsi"/>
          <w:b/>
          <w:sz w:val="20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lang w:val="en-GB"/>
        </w:rPr>
        <w:t xml:space="preserve">Supplemental 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 xml:space="preserve">table 4: Temporal trends in mean birthweight (grams) </w:t>
      </w:r>
      <w:r>
        <w:rPr>
          <w:rFonts w:asciiTheme="majorHAnsi" w:hAnsiTheme="majorHAnsi" w:cstheme="majorHAnsi"/>
          <w:b/>
          <w:sz w:val="22"/>
          <w:lang w:val="en-GB"/>
        </w:rPr>
        <w:t xml:space="preserve">in all births 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>1986</w:t>
      </w:r>
      <w:r>
        <w:rPr>
          <w:rFonts w:asciiTheme="majorHAnsi" w:hAnsiTheme="majorHAnsi" w:cstheme="majorHAnsi"/>
          <w:color w:val="000000" w:themeColor="text1"/>
          <w:sz w:val="22"/>
          <w:lang w:val="en-GB"/>
        </w:rPr>
        <w:t>-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 xml:space="preserve"> </w:t>
      </w:r>
      <w:r>
        <w:rPr>
          <w:rFonts w:asciiTheme="majorHAnsi" w:hAnsiTheme="majorHAnsi" w:cstheme="majorHAnsi"/>
          <w:b/>
          <w:sz w:val="22"/>
          <w:lang w:val="en-GB"/>
        </w:rPr>
        <w:t>2012 (ONS data) by maternal 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1"/>
        <w:gridCol w:w="1774"/>
        <w:gridCol w:w="1628"/>
        <w:gridCol w:w="1996"/>
        <w:gridCol w:w="1997"/>
      </w:tblGrid>
      <w:tr w:rsidR="007C014D" w14:paraId="03F18BA2" w14:textId="77777777" w:rsidTr="007C014D">
        <w:trPr>
          <w:trHeight w:val="20"/>
        </w:trPr>
        <w:tc>
          <w:tcPr>
            <w:tcW w:w="1624" w:type="dxa"/>
            <w:shd w:val="clear" w:color="auto" w:fill="auto"/>
            <w:tcMar>
              <w:left w:w="108" w:type="dxa"/>
            </w:tcMar>
          </w:tcPr>
          <w:p w14:paraId="7A762BAD" w14:textId="77777777" w:rsidR="007C014D" w:rsidRDefault="007C014D" w:rsidP="007C014D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Maternal age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  <w:vAlign w:val="center"/>
          </w:tcPr>
          <w:p w14:paraId="22769711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Unadjusted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yearly birthweight change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[95% CI]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  <w:vAlign w:val="center"/>
          </w:tcPr>
          <w:p w14:paraId="3A8E2D62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Adjusted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yearly birthweight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change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[95% CI]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  <w:vAlign w:val="center"/>
          </w:tcPr>
          <w:p w14:paraId="7B6FEA01" w14:textId="77777777" w:rsidR="007C014D" w:rsidRDefault="007C014D" w:rsidP="007C01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Unadjusted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birthweight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change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[95% CI] 1986-2012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  <w:vAlign w:val="center"/>
          </w:tcPr>
          <w:p w14:paraId="0F712DAA" w14:textId="77777777" w:rsidR="007C014D" w:rsidRDefault="007C014D" w:rsidP="007C01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Adjusted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birthweight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change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[95% CI] 1986-2012</w:t>
            </w:r>
          </w:p>
        </w:tc>
      </w:tr>
      <w:tr w:rsidR="007C014D" w14:paraId="1523061D" w14:textId="77777777" w:rsidTr="007C014D">
        <w:trPr>
          <w:trHeight w:val="20"/>
        </w:trPr>
        <w:tc>
          <w:tcPr>
            <w:tcW w:w="902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64867428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Male</w:t>
            </w:r>
          </w:p>
        </w:tc>
      </w:tr>
      <w:tr w:rsidR="007C014D" w14:paraId="7E7BC1E0" w14:textId="77777777" w:rsidTr="007C014D">
        <w:trPr>
          <w:trHeight w:val="20"/>
        </w:trPr>
        <w:tc>
          <w:tcPr>
            <w:tcW w:w="1624" w:type="dxa"/>
            <w:shd w:val="clear" w:color="auto" w:fill="auto"/>
            <w:tcMar>
              <w:left w:w="108" w:type="dxa"/>
            </w:tcMar>
          </w:tcPr>
          <w:p w14:paraId="7BAE495E" w14:textId="77777777" w:rsidR="007C014D" w:rsidRDefault="007C014D" w:rsidP="007C014D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&lt;30 years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  <w:vAlign w:val="center"/>
          </w:tcPr>
          <w:p w14:paraId="68419C3F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0.1 [0.0-0.2]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  <w:vAlign w:val="center"/>
          </w:tcPr>
          <w:p w14:paraId="38141BE4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1.2 [1.1-1.2]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  <w:vAlign w:val="bottom"/>
          </w:tcPr>
          <w:p w14:paraId="767ECF18" w14:textId="77777777" w:rsidR="007C014D" w:rsidRDefault="007C014D" w:rsidP="007C01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 [0.2-1.1]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  <w:vAlign w:val="center"/>
          </w:tcPr>
          <w:p w14:paraId="79DBC0AE" w14:textId="77777777" w:rsidR="007C014D" w:rsidRDefault="007C014D" w:rsidP="007C01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 [7.7-8.6]</w:t>
            </w:r>
          </w:p>
        </w:tc>
      </w:tr>
      <w:tr w:rsidR="007C014D" w14:paraId="411E93EF" w14:textId="77777777" w:rsidTr="007C014D">
        <w:trPr>
          <w:trHeight w:val="20"/>
        </w:trPr>
        <w:tc>
          <w:tcPr>
            <w:tcW w:w="1624" w:type="dxa"/>
            <w:shd w:val="clear" w:color="auto" w:fill="auto"/>
            <w:tcMar>
              <w:left w:w="108" w:type="dxa"/>
            </w:tcMar>
          </w:tcPr>
          <w:p w14:paraId="6CC9B984" w14:textId="77777777" w:rsidR="007C014D" w:rsidRDefault="007C014D" w:rsidP="007C014D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≥30 years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  <w:vAlign w:val="center"/>
          </w:tcPr>
          <w:p w14:paraId="11DEE2A2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2.4 [2.3-2.4]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  <w:vAlign w:val="center"/>
          </w:tcPr>
          <w:p w14:paraId="2EA92710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2.5 [2.4-2.6]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  <w:vAlign w:val="bottom"/>
          </w:tcPr>
          <w:p w14:paraId="2A4C4BDC" w14:textId="77777777" w:rsidR="007C014D" w:rsidRDefault="007C014D" w:rsidP="007C01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 [16.0-17.0]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  <w:vAlign w:val="center"/>
          </w:tcPr>
          <w:p w14:paraId="4C06EF7E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 [16.9-17.9]</w:t>
            </w:r>
          </w:p>
        </w:tc>
      </w:tr>
      <w:tr w:rsidR="007C014D" w14:paraId="13C6CD62" w14:textId="77777777" w:rsidTr="007C014D">
        <w:trPr>
          <w:trHeight w:val="20"/>
        </w:trPr>
        <w:tc>
          <w:tcPr>
            <w:tcW w:w="9026" w:type="dxa"/>
            <w:gridSpan w:val="5"/>
            <w:shd w:val="clear" w:color="auto" w:fill="auto"/>
            <w:tcMar>
              <w:left w:w="108" w:type="dxa"/>
            </w:tcMar>
          </w:tcPr>
          <w:p w14:paraId="4D1E0586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Female</w:t>
            </w:r>
          </w:p>
        </w:tc>
      </w:tr>
      <w:tr w:rsidR="007C014D" w14:paraId="03EFA8D0" w14:textId="77777777" w:rsidTr="007C014D">
        <w:trPr>
          <w:trHeight w:val="20"/>
        </w:trPr>
        <w:tc>
          <w:tcPr>
            <w:tcW w:w="1624" w:type="dxa"/>
            <w:shd w:val="clear" w:color="auto" w:fill="auto"/>
            <w:tcMar>
              <w:left w:w="108" w:type="dxa"/>
            </w:tcMar>
          </w:tcPr>
          <w:p w14:paraId="4CC1EB10" w14:textId="77777777" w:rsidR="007C014D" w:rsidRDefault="007C014D" w:rsidP="007C014D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&lt;30 years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  <w:vAlign w:val="center"/>
          </w:tcPr>
          <w:p w14:paraId="4663A312" w14:textId="77777777" w:rsidR="007C014D" w:rsidRDefault="007C014D" w:rsidP="007C01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0.1 [0.1-0.2]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  <w:vAlign w:val="center"/>
          </w:tcPr>
          <w:p w14:paraId="7773D6B5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1.3 [1.2-1.3]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  <w:vAlign w:val="bottom"/>
          </w:tcPr>
          <w:p w14:paraId="3200D08C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 [0.6-1.4]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  <w:vAlign w:val="center"/>
          </w:tcPr>
          <w:p w14:paraId="644D48D3" w14:textId="77777777" w:rsidR="007C014D" w:rsidRDefault="007C014D" w:rsidP="007C01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 [8.5-9.3]</w:t>
            </w:r>
          </w:p>
        </w:tc>
      </w:tr>
      <w:tr w:rsidR="007C014D" w14:paraId="681565B1" w14:textId="77777777" w:rsidTr="007C014D">
        <w:trPr>
          <w:trHeight w:val="20"/>
        </w:trPr>
        <w:tc>
          <w:tcPr>
            <w:tcW w:w="1624" w:type="dxa"/>
            <w:shd w:val="clear" w:color="auto" w:fill="auto"/>
            <w:tcMar>
              <w:left w:w="108" w:type="dxa"/>
            </w:tcMar>
          </w:tcPr>
          <w:p w14:paraId="1C2BE518" w14:textId="77777777" w:rsidR="007C014D" w:rsidRDefault="007C014D" w:rsidP="007C014D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≥30 years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  <w:vAlign w:val="center"/>
          </w:tcPr>
          <w:p w14:paraId="5B007FAA" w14:textId="77777777" w:rsidR="007C014D" w:rsidRDefault="007C014D" w:rsidP="007C01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2.4 [2.3-2.4]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  <w:vAlign w:val="center"/>
          </w:tcPr>
          <w:p w14:paraId="3D2E9492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2.5 [2.4-2.6]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  <w:vAlign w:val="bottom"/>
          </w:tcPr>
          <w:p w14:paraId="3F066986" w14:textId="77777777" w:rsidR="007C014D" w:rsidRDefault="007C014D" w:rsidP="007C014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 [16.0-17.0]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  <w:vAlign w:val="center"/>
          </w:tcPr>
          <w:p w14:paraId="740B1444" w14:textId="77777777" w:rsidR="007C014D" w:rsidRDefault="007C014D" w:rsidP="007C01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 [16.9-17.9]</w:t>
            </w:r>
          </w:p>
        </w:tc>
      </w:tr>
    </w:tbl>
    <w:p w14:paraId="17EB3436" w14:textId="77777777" w:rsidR="007C014D" w:rsidRDefault="007C014D" w:rsidP="007C014D">
      <w:pPr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1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Adjusted for marital status, area-level deprivation and area-level ethnicity</w:t>
      </w:r>
    </w:p>
    <w:p w14:paraId="353EA73A" w14:textId="77777777" w:rsidR="007C014D" w:rsidRDefault="007C014D" w:rsidP="007C014D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0C975913" w14:textId="77777777" w:rsidR="00C63549" w:rsidRDefault="00622AFF">
      <w:pPr>
        <w:rPr>
          <w:rFonts w:asciiTheme="majorHAnsi" w:hAnsiTheme="majorHAnsi" w:cstheme="majorHAnsi"/>
          <w:szCs w:val="22"/>
          <w:lang w:val="en-GB"/>
        </w:rPr>
      </w:pPr>
      <w:r>
        <w:br w:type="page"/>
      </w:r>
    </w:p>
    <w:p w14:paraId="7E59FEDB" w14:textId="49DDAA66" w:rsidR="00C63549" w:rsidRDefault="00622AFF">
      <w:pPr>
        <w:pStyle w:val="Caption"/>
        <w:spacing w:after="0"/>
        <w:rPr>
          <w:rFonts w:cstheme="majorHAnsi"/>
          <w:sz w:val="16"/>
        </w:rPr>
      </w:pPr>
      <w:r>
        <w:rPr>
          <w:rFonts w:cstheme="majorHAnsi"/>
          <w:b/>
          <w:i w:val="0"/>
          <w:color w:val="000000" w:themeColor="text1"/>
          <w:sz w:val="22"/>
          <w:szCs w:val="24"/>
        </w:rPr>
        <w:t xml:space="preserve">Supplemental Figure </w:t>
      </w:r>
      <w:r w:rsidR="007C014D">
        <w:rPr>
          <w:rFonts w:cstheme="majorHAnsi"/>
          <w:b/>
          <w:i w:val="0"/>
          <w:color w:val="000000" w:themeColor="text1"/>
          <w:sz w:val="22"/>
          <w:szCs w:val="24"/>
        </w:rPr>
        <w:t>2</w:t>
      </w:r>
      <w:r>
        <w:rPr>
          <w:rFonts w:cstheme="majorHAnsi"/>
          <w:b/>
          <w:i w:val="0"/>
          <w:color w:val="000000" w:themeColor="text1"/>
          <w:sz w:val="22"/>
          <w:szCs w:val="24"/>
        </w:rPr>
        <w:t>: Temporal trends in proportions of live, singleton births in England and Wales (1986-2012) with a very low birth weight (VLBW), low birth weight (LBW), and high birth weight (HBW).</w:t>
      </w:r>
    </w:p>
    <w:p w14:paraId="5D93148A" w14:textId="77777777" w:rsidR="00C63549" w:rsidRDefault="00622AFF">
      <w:pPr>
        <w:rPr>
          <w:rFonts w:asciiTheme="majorHAnsi" w:hAnsiTheme="majorHAnsi" w:cstheme="majorHAnsi"/>
          <w:i/>
        </w:rPr>
      </w:pPr>
      <w:r>
        <w:rPr>
          <w:noProof/>
          <w:lang w:val="en-GB" w:eastAsia="en-GB"/>
        </w:rPr>
        <w:drawing>
          <wp:inline distT="0" distB="0" distL="0" distR="0" wp14:anchorId="031DBC87" wp14:editId="55858255">
            <wp:extent cx="5867400" cy="7863840"/>
            <wp:effectExtent l="0" t="0" r="0" b="381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87CB12" w14:textId="77777777" w:rsidR="00C63549" w:rsidRDefault="00C63549">
      <w:pPr>
        <w:spacing w:line="360" w:lineRule="auto"/>
        <w:rPr>
          <w:rFonts w:asciiTheme="majorHAnsi" w:hAnsiTheme="majorHAnsi" w:cstheme="majorHAnsi"/>
          <w:b/>
          <w:lang w:val="en-GB"/>
        </w:rPr>
      </w:pPr>
    </w:p>
    <w:p w14:paraId="0CC7DAAC" w14:textId="77777777" w:rsidR="007C014D" w:rsidRDefault="007C014D">
      <w:pPr>
        <w:rPr>
          <w:rFonts w:asciiTheme="majorHAnsi" w:hAnsiTheme="majorHAnsi" w:cstheme="majorHAnsi"/>
          <w:b/>
          <w:sz w:val="22"/>
          <w:lang w:val="en-GB"/>
        </w:rPr>
      </w:pPr>
      <w:r>
        <w:rPr>
          <w:rFonts w:asciiTheme="majorHAnsi" w:hAnsiTheme="majorHAnsi" w:cstheme="majorHAnsi"/>
          <w:b/>
          <w:sz w:val="22"/>
          <w:lang w:val="en-GB"/>
        </w:rPr>
        <w:br w:type="page"/>
      </w:r>
    </w:p>
    <w:p w14:paraId="5EFCC08D" w14:textId="13569295" w:rsidR="007C014D" w:rsidRDefault="007C014D" w:rsidP="007C014D">
      <w:pPr>
        <w:pStyle w:val="Caption"/>
        <w:spacing w:after="0"/>
        <w:rPr>
          <w:rFonts w:cstheme="majorHAns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65717" wp14:editId="31BB19A9">
                <wp:simplePos x="0" y="0"/>
                <wp:positionH relativeFrom="margin">
                  <wp:align>right</wp:align>
                </wp:positionH>
                <wp:positionV relativeFrom="paragraph">
                  <wp:posOffset>3335655</wp:posOffset>
                </wp:positionV>
                <wp:extent cx="334010" cy="353060"/>
                <wp:effectExtent l="0" t="0" r="27940" b="2794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B4E368" w14:textId="475EA563" w:rsidR="007C014D" w:rsidRDefault="004C25FF" w:rsidP="007C014D">
                            <w:pPr>
                              <w:pStyle w:val="FrameContents"/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65717" id="Text Box 2" o:spid="_x0000_s1038" style="position:absolute;margin-left:-24.9pt;margin-top:262.65pt;width:26.3pt;height:27.8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" strokeweight=".26mm">
                <v:textbox>
                  <w:txbxContent>
                    <w:p w14:paraId="7FB4E368" w14:textId="475EA563" w:rsidR="007C014D" w:rsidRDefault="004C25FF" w:rsidP="007C014D">
                      <w:pPr>
                        <w:pStyle w:val="FrameContents"/>
                      </w:pPr>
                      <w:r>
                        <w:rPr>
                          <w:rFonts w:asciiTheme="majorHAnsi" w:hAnsiTheme="majorHAnsi" w:cstheme="majorHAnsi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ajorHAnsi"/>
          <w:b/>
          <w:i w:val="0"/>
          <w:color w:val="000000" w:themeColor="text1"/>
          <w:sz w:val="22"/>
          <w:szCs w:val="22"/>
        </w:rPr>
        <w:t xml:space="preserve">Supplemental figure </w:t>
      </w:r>
      <w:r w:rsidR="004C25FF">
        <w:rPr>
          <w:rFonts w:cstheme="majorHAnsi"/>
          <w:b/>
          <w:i w:val="0"/>
          <w:color w:val="000000" w:themeColor="text1"/>
          <w:sz w:val="22"/>
          <w:szCs w:val="22"/>
        </w:rPr>
        <w:t>3</w:t>
      </w:r>
      <w:r>
        <w:rPr>
          <w:rFonts w:cstheme="majorHAnsi"/>
          <w:b/>
          <w:i w:val="0"/>
          <w:color w:val="000000" w:themeColor="text1"/>
          <w:sz w:val="22"/>
          <w:szCs w:val="22"/>
        </w:rPr>
        <w:t>: a) Proportion of births (%) by maternal age group, live, singleton births in England and Wales (1986 and 2012)</w:t>
      </w:r>
      <w:r>
        <w:rPr>
          <w:rFonts w:cstheme="majorHAnsi"/>
          <w:b/>
          <w:i w:val="0"/>
          <w:color w:val="000000" w:themeColor="text1"/>
          <w:sz w:val="22"/>
          <w:szCs w:val="22"/>
          <w:vertAlign w:val="superscript"/>
        </w:rPr>
        <w:t xml:space="preserve">1 </w:t>
      </w:r>
      <w:r>
        <w:rPr>
          <w:rFonts w:cstheme="majorHAnsi"/>
          <w:b/>
          <w:i w:val="0"/>
          <w:color w:val="000000" w:themeColor="text1"/>
          <w:sz w:val="22"/>
          <w:szCs w:val="22"/>
        </w:rPr>
        <w:t xml:space="preserve">b) </w:t>
      </w:r>
      <w:r w:rsidR="004C25FF">
        <w:rPr>
          <w:rFonts w:cstheme="majorHAnsi"/>
          <w:b/>
          <w:i w:val="0"/>
          <w:color w:val="000000" w:themeColor="text1"/>
          <w:sz w:val="22"/>
          <w:szCs w:val="22"/>
        </w:rPr>
        <w:t xml:space="preserve"> Mean </w:t>
      </w:r>
      <w:r>
        <w:rPr>
          <w:rFonts w:cstheme="majorHAnsi"/>
          <w:b/>
          <w:i w:val="0"/>
          <w:color w:val="000000" w:themeColor="text1"/>
          <w:sz w:val="22"/>
          <w:szCs w:val="22"/>
        </w:rPr>
        <w:t xml:space="preserve">birthweight by maternal age and sex </w:t>
      </w:r>
      <w:r>
        <w:rPr>
          <w:rFonts w:cstheme="majorHAnsi"/>
          <w:szCs w:val="22"/>
          <w:vertAlign w:val="superscript"/>
        </w:rPr>
        <w:t>1</w:t>
      </w:r>
      <w:r>
        <w:rPr>
          <w:rFonts w:cstheme="majorHAnsi"/>
          <w:szCs w:val="22"/>
        </w:rPr>
        <w:t xml:space="preserve"> </w:t>
      </w:r>
      <w:r>
        <w:rPr>
          <w:rFonts w:cstheme="majorHAnsi"/>
          <w:sz w:val="20"/>
          <w:szCs w:val="22"/>
        </w:rPr>
        <w:t>imputed data in 1991</w:t>
      </w:r>
      <w:r>
        <w:rPr>
          <w:rFonts w:cstheme="majorHAnsi"/>
          <w:noProof/>
          <w:sz w:val="20"/>
          <w:szCs w:val="22"/>
          <w:lang w:eastAsia="en-GB"/>
        </w:rPr>
        <w:drawing>
          <wp:inline distT="0" distB="0" distL="0" distR="0" wp14:anchorId="201FBD9D" wp14:editId="472CDF18">
            <wp:extent cx="5731510" cy="3208020"/>
            <wp:effectExtent l="0" t="0" r="2540" b="1143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cstheme="majorHAnsi"/>
          <w:szCs w:val="22"/>
          <w:vertAlign w:val="superscript"/>
          <w:lang w:eastAsia="en-GB"/>
        </w:rPr>
        <w:t xml:space="preserve"> </w:t>
      </w:r>
    </w:p>
    <w:p w14:paraId="74B8CE7C" w14:textId="4C2867BA" w:rsidR="007C014D" w:rsidRDefault="00B74683" w:rsidP="007C014D">
      <w:pPr>
        <w:rPr>
          <w:rFonts w:asciiTheme="majorHAnsi" w:hAnsiTheme="majorHAnsi" w:cstheme="majorHAnsi"/>
          <w:b/>
          <w:sz w:val="22"/>
          <w:lang w:val="en-GB"/>
        </w:rPr>
      </w:pPr>
      <w:r w:rsidRPr="00B74683">
        <w:rPr>
          <w:rFonts w:asciiTheme="majorHAnsi" w:hAnsiTheme="majorHAnsi" w:cstheme="majorHAnsi"/>
          <w:b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6AC154" wp14:editId="6677F744">
                <wp:simplePos x="0" y="0"/>
                <wp:positionH relativeFrom="margin">
                  <wp:posOffset>5369560</wp:posOffset>
                </wp:positionH>
                <wp:positionV relativeFrom="paragraph">
                  <wp:posOffset>2611120</wp:posOffset>
                </wp:positionV>
                <wp:extent cx="3429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EBC0" w14:textId="3CF906F4" w:rsidR="00B74683" w:rsidRPr="00B74683" w:rsidRDefault="00B7468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683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C154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422.8pt;margin-top:205.6pt;width:27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" strokecolor="black [3213]">
                <v:textbox>
                  <w:txbxContent>
                    <w:p w14:paraId="5DF2EBC0" w14:textId="3CF906F4" w:rsidR="00B74683" w:rsidRPr="00B74683" w:rsidRDefault="00B7468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4683">
                        <w:rPr>
                          <w:rFonts w:asciiTheme="minorHAnsi" w:hAnsiTheme="minorHAnsi" w:cstheme="minorHAnsi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0B1">
        <w:rPr>
          <w:rFonts w:asciiTheme="majorHAnsi" w:hAnsiTheme="majorHAnsi" w:cstheme="majorHAnsi"/>
          <w:b/>
          <w:noProof/>
          <w:sz w:val="22"/>
          <w:lang w:val="en-GB" w:eastAsia="en-GB"/>
        </w:rPr>
        <w:drawing>
          <wp:inline distT="0" distB="0" distL="0" distR="0" wp14:anchorId="74084721" wp14:editId="37DA1D1A">
            <wp:extent cx="5695950" cy="295275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52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ECBA53" w14:textId="431D0A7E" w:rsidR="007C014D" w:rsidRPr="004350B1" w:rsidRDefault="007C014D">
      <w:pPr>
        <w:rPr>
          <w:rFonts w:asciiTheme="majorHAnsi" w:hAnsiTheme="majorHAnsi" w:cstheme="majorHAnsi"/>
          <w:b/>
          <w:sz w:val="22"/>
          <w:lang w:val="en-GB"/>
        </w:rPr>
      </w:pPr>
      <w:r w:rsidRPr="004350B1">
        <w:rPr>
          <w:rFonts w:asciiTheme="majorHAnsi" w:hAnsiTheme="majorHAnsi" w:cstheme="majorHAnsi"/>
          <w:b/>
          <w:sz w:val="22"/>
          <w:lang w:val="en-GB"/>
        </w:rPr>
        <w:br w:type="page"/>
      </w:r>
    </w:p>
    <w:p w14:paraId="6A8662AE" w14:textId="0383494E" w:rsidR="00C63549" w:rsidRDefault="00622AFF">
      <w:pPr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b/>
          <w:sz w:val="22"/>
          <w:lang w:val="en-GB"/>
        </w:rPr>
        <w:t>Supplemental t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 xml:space="preserve">able </w:t>
      </w:r>
      <w:r w:rsidR="004C25FF"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>5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>: Sensitivity analysis - Annual trends in mean birthweight (grams) adjusting for area or individual level ethnicity (2006</w:t>
      </w:r>
      <w:r>
        <w:rPr>
          <w:rFonts w:asciiTheme="majorHAnsi" w:hAnsiTheme="majorHAnsi" w:cstheme="majorHAnsi"/>
          <w:color w:val="000000" w:themeColor="text1"/>
          <w:sz w:val="22"/>
          <w:lang w:val="en-GB"/>
        </w:rPr>
        <w:t>-</w:t>
      </w:r>
      <w:r>
        <w:rPr>
          <w:rFonts w:asciiTheme="majorHAnsi" w:hAnsiTheme="majorHAnsi" w:cstheme="majorHAnsi"/>
          <w:b/>
          <w:sz w:val="22"/>
          <w:lang w:val="en-GB"/>
        </w:rPr>
        <w:t xml:space="preserve">2012)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1"/>
        <w:gridCol w:w="2211"/>
        <w:gridCol w:w="2490"/>
        <w:gridCol w:w="2274"/>
      </w:tblGrid>
      <w:tr w:rsidR="00C63549" w14:paraId="7975F071" w14:textId="77777777">
        <w:tc>
          <w:tcPr>
            <w:tcW w:w="2043" w:type="dxa"/>
            <w:shd w:val="clear" w:color="auto" w:fill="auto"/>
            <w:tcMar>
              <w:left w:w="108" w:type="dxa"/>
            </w:tcMar>
          </w:tcPr>
          <w:p w14:paraId="408491D7" w14:textId="77777777" w:rsidR="00C63549" w:rsidRDefault="00C63549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13" w:type="dxa"/>
            <w:shd w:val="clear" w:color="auto" w:fill="auto"/>
            <w:tcMar>
              <w:left w:w="108" w:type="dxa"/>
            </w:tcMar>
            <w:vAlign w:val="center"/>
          </w:tcPr>
          <w:p w14:paraId="38DBBCC6" w14:textId="77777777" w:rsidR="00C63549" w:rsidRDefault="00622AFF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Unadjusted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yearly change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 xml:space="preserve"> [95% CI]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  <w:vAlign w:val="center"/>
          </w:tcPr>
          <w:p w14:paraId="60E5BF56" w14:textId="77777777" w:rsidR="00C63549" w:rsidRDefault="00622AFF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n-GB"/>
              </w:rPr>
              <w:t>Adjusted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vertAlign w:val="superscript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yearly change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 xml:space="preserve"> [95% CI]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>– Area-level ethnicity</w:t>
            </w:r>
          </w:p>
        </w:tc>
        <w:tc>
          <w:tcPr>
            <w:tcW w:w="2276" w:type="dxa"/>
            <w:shd w:val="clear" w:color="auto" w:fill="auto"/>
            <w:tcMar>
              <w:left w:w="108" w:type="dxa"/>
            </w:tcMar>
            <w:vAlign w:val="center"/>
          </w:tcPr>
          <w:p w14:paraId="68EA240D" w14:textId="77777777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n-GB"/>
              </w:rPr>
              <w:t>Adjusted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vertAlign w:val="superscript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yearly change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 xml:space="preserve"> [95% CI]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>– individual ethnicity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vertAlign w:val="superscript"/>
              </w:rPr>
              <w:t>2</w:t>
            </w:r>
          </w:p>
        </w:tc>
      </w:tr>
      <w:tr w:rsidR="00C63549" w14:paraId="67EBDEE8" w14:textId="77777777">
        <w:trPr>
          <w:trHeight w:val="252"/>
        </w:trPr>
        <w:tc>
          <w:tcPr>
            <w:tcW w:w="9025" w:type="dxa"/>
            <w:gridSpan w:val="4"/>
            <w:shd w:val="clear" w:color="auto" w:fill="auto"/>
            <w:tcMar>
              <w:left w:w="108" w:type="dxa"/>
            </w:tcMar>
          </w:tcPr>
          <w:p w14:paraId="3C962A91" w14:textId="77777777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  <w:t>Male</w:t>
            </w:r>
          </w:p>
        </w:tc>
      </w:tr>
      <w:tr w:rsidR="00C63549" w14:paraId="42AFC2BB" w14:textId="77777777">
        <w:trPr>
          <w:trHeight w:val="138"/>
        </w:trPr>
        <w:tc>
          <w:tcPr>
            <w:tcW w:w="2043" w:type="dxa"/>
            <w:shd w:val="clear" w:color="auto" w:fill="auto"/>
            <w:tcMar>
              <w:left w:w="108" w:type="dxa"/>
            </w:tcMar>
          </w:tcPr>
          <w:p w14:paraId="5ED34924" w14:textId="5E9FE19E" w:rsidR="00C63549" w:rsidRDefault="00622AFF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birthweight (grams)</w:t>
            </w:r>
          </w:p>
        </w:tc>
        <w:tc>
          <w:tcPr>
            <w:tcW w:w="2213" w:type="dxa"/>
            <w:shd w:val="clear" w:color="auto" w:fill="auto"/>
            <w:tcMar>
              <w:left w:w="108" w:type="dxa"/>
            </w:tcMar>
            <w:vAlign w:val="center"/>
          </w:tcPr>
          <w:p w14:paraId="6AA9C244" w14:textId="04013433" w:rsidR="00C63549" w:rsidRDefault="00622AFF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  <w:t>3.8 [3.4:4.1]</w:t>
            </w: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  <w:vAlign w:val="center"/>
          </w:tcPr>
          <w:p w14:paraId="0D8EA2E4" w14:textId="62E1B5BA" w:rsidR="00C63549" w:rsidRDefault="00622AFF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  <w:t>3.7 [3.3;4.0]</w:t>
            </w:r>
          </w:p>
        </w:tc>
        <w:tc>
          <w:tcPr>
            <w:tcW w:w="2276" w:type="dxa"/>
            <w:shd w:val="clear" w:color="auto" w:fill="auto"/>
            <w:tcMar>
              <w:left w:w="108" w:type="dxa"/>
            </w:tcMar>
            <w:vAlign w:val="center"/>
          </w:tcPr>
          <w:p w14:paraId="340BC5CB" w14:textId="4EF1D499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  <w:t>4.4 [4.0;4.8]</w:t>
            </w:r>
          </w:p>
        </w:tc>
      </w:tr>
      <w:tr w:rsidR="00C63549" w14:paraId="6457299F" w14:textId="77777777">
        <w:trPr>
          <w:trHeight w:val="70"/>
        </w:trPr>
        <w:tc>
          <w:tcPr>
            <w:tcW w:w="902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6BCE4C6F" w14:textId="77777777" w:rsidR="00C63549" w:rsidRDefault="00622AF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  <w:t>Term (≥37 weeks gestation)</w:t>
            </w:r>
          </w:p>
        </w:tc>
      </w:tr>
      <w:tr w:rsidR="00C63549" w14:paraId="0FE7E4DF" w14:textId="77777777">
        <w:tc>
          <w:tcPr>
            <w:tcW w:w="2043" w:type="dxa"/>
            <w:shd w:val="clear" w:color="auto" w:fill="auto"/>
            <w:tcMar>
              <w:left w:w="108" w:type="dxa"/>
            </w:tcMar>
          </w:tcPr>
          <w:p w14:paraId="7EE496CB" w14:textId="2E75D790" w:rsidR="00C63549" w:rsidRDefault="00622AFF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birthweight (grams)</w:t>
            </w:r>
          </w:p>
        </w:tc>
        <w:tc>
          <w:tcPr>
            <w:tcW w:w="2213" w:type="dxa"/>
            <w:shd w:val="clear" w:color="auto" w:fill="auto"/>
            <w:tcMar>
              <w:left w:w="108" w:type="dxa"/>
            </w:tcMar>
            <w:vAlign w:val="center"/>
          </w:tcPr>
          <w:p w14:paraId="2279E861" w14:textId="15B555A3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2.5 [2.2;2.8]</w:t>
            </w: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  <w:vAlign w:val="center"/>
          </w:tcPr>
          <w:p w14:paraId="39D483D1" w14:textId="7E6BF8E8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2.3 [2.0;2.6]</w:t>
            </w:r>
          </w:p>
        </w:tc>
        <w:tc>
          <w:tcPr>
            <w:tcW w:w="2276" w:type="dxa"/>
            <w:shd w:val="clear" w:color="auto" w:fill="auto"/>
            <w:tcMar>
              <w:left w:w="108" w:type="dxa"/>
            </w:tcMar>
            <w:vAlign w:val="center"/>
          </w:tcPr>
          <w:p w14:paraId="28D1B3B5" w14:textId="1DA1307D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3.0 [2.7;3.3]</w:t>
            </w:r>
          </w:p>
        </w:tc>
      </w:tr>
      <w:tr w:rsidR="00C63549" w14:paraId="231030AD" w14:textId="77777777">
        <w:tc>
          <w:tcPr>
            <w:tcW w:w="902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4E4408BE" w14:textId="77777777" w:rsidR="00C63549" w:rsidRDefault="00622AF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  <w:t>Pre-Term (&lt;37 weeks gestation)</w:t>
            </w:r>
          </w:p>
        </w:tc>
      </w:tr>
      <w:tr w:rsidR="00C63549" w14:paraId="677F3453" w14:textId="77777777">
        <w:tc>
          <w:tcPr>
            <w:tcW w:w="2043" w:type="dxa"/>
            <w:shd w:val="clear" w:color="auto" w:fill="auto"/>
            <w:tcMar>
              <w:left w:w="108" w:type="dxa"/>
            </w:tcMar>
          </w:tcPr>
          <w:p w14:paraId="3F28138C" w14:textId="4BCDFE35" w:rsidR="00C63549" w:rsidRDefault="00622AFF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birthweight (grams)</w:t>
            </w:r>
          </w:p>
        </w:tc>
        <w:tc>
          <w:tcPr>
            <w:tcW w:w="2213" w:type="dxa"/>
            <w:shd w:val="clear" w:color="auto" w:fill="auto"/>
            <w:tcMar>
              <w:left w:w="108" w:type="dxa"/>
            </w:tcMar>
            <w:vAlign w:val="center"/>
          </w:tcPr>
          <w:p w14:paraId="7F82AC42" w14:textId="6307E2CA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4.4 [2.3;6.2]</w:t>
            </w: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  <w:vAlign w:val="center"/>
          </w:tcPr>
          <w:p w14:paraId="53176E57" w14:textId="7FD6FCF9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4.2 [2.4;5.9]</w:t>
            </w:r>
          </w:p>
        </w:tc>
        <w:tc>
          <w:tcPr>
            <w:tcW w:w="2276" w:type="dxa"/>
            <w:shd w:val="clear" w:color="auto" w:fill="auto"/>
            <w:tcMar>
              <w:left w:w="108" w:type="dxa"/>
            </w:tcMar>
            <w:vAlign w:val="center"/>
          </w:tcPr>
          <w:p w14:paraId="44F0DDF1" w14:textId="43DFD050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4.3 [2.5;6.1]</w:t>
            </w:r>
          </w:p>
        </w:tc>
      </w:tr>
      <w:tr w:rsidR="00C63549" w14:paraId="2F9B56FE" w14:textId="77777777">
        <w:tc>
          <w:tcPr>
            <w:tcW w:w="9025" w:type="dxa"/>
            <w:gridSpan w:val="4"/>
            <w:shd w:val="clear" w:color="auto" w:fill="auto"/>
            <w:tcMar>
              <w:left w:w="108" w:type="dxa"/>
            </w:tcMar>
          </w:tcPr>
          <w:p w14:paraId="160742D3" w14:textId="77777777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en-GB" w:eastAsia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  <w:t>Female</w:t>
            </w:r>
          </w:p>
        </w:tc>
      </w:tr>
      <w:tr w:rsidR="00C63549" w14:paraId="79F064C4" w14:textId="77777777">
        <w:tc>
          <w:tcPr>
            <w:tcW w:w="2043" w:type="dxa"/>
            <w:shd w:val="clear" w:color="auto" w:fill="auto"/>
            <w:tcMar>
              <w:left w:w="108" w:type="dxa"/>
            </w:tcMar>
          </w:tcPr>
          <w:p w14:paraId="75652CE8" w14:textId="7C476360" w:rsidR="00C63549" w:rsidRDefault="00622AFF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birthweight (grams)</w:t>
            </w:r>
          </w:p>
        </w:tc>
        <w:tc>
          <w:tcPr>
            <w:tcW w:w="2213" w:type="dxa"/>
            <w:shd w:val="clear" w:color="auto" w:fill="auto"/>
            <w:tcMar>
              <w:left w:w="108" w:type="dxa"/>
            </w:tcMar>
            <w:vAlign w:val="center"/>
          </w:tcPr>
          <w:p w14:paraId="4578A9EE" w14:textId="155BDC75" w:rsidR="00C63549" w:rsidRDefault="00622AFF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  <w:t>3.4 [3.0;3.7]</w:t>
            </w: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  <w:vAlign w:val="center"/>
          </w:tcPr>
          <w:p w14:paraId="411BEDCC" w14:textId="4A3C54EA" w:rsidR="00C63549" w:rsidRDefault="00622AFF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  <w:t>3.4 [3.0;3.7]</w:t>
            </w:r>
          </w:p>
        </w:tc>
        <w:tc>
          <w:tcPr>
            <w:tcW w:w="2276" w:type="dxa"/>
            <w:shd w:val="clear" w:color="auto" w:fill="auto"/>
            <w:tcMar>
              <w:left w:w="108" w:type="dxa"/>
            </w:tcMar>
            <w:vAlign w:val="center"/>
          </w:tcPr>
          <w:p w14:paraId="677E78E2" w14:textId="34C6490E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 w:eastAsia="en-GB"/>
              </w:rPr>
              <w:t>3.9 [3.6;4.3]</w:t>
            </w:r>
          </w:p>
        </w:tc>
      </w:tr>
      <w:tr w:rsidR="00C63549" w14:paraId="18CE3BB4" w14:textId="77777777">
        <w:tc>
          <w:tcPr>
            <w:tcW w:w="902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656BE46" w14:textId="77777777" w:rsidR="00C63549" w:rsidRDefault="00622AF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  <w:t>Term (≥37 weeks gestation)</w:t>
            </w:r>
          </w:p>
        </w:tc>
      </w:tr>
      <w:tr w:rsidR="00C63549" w14:paraId="17D7E3CD" w14:textId="77777777">
        <w:tc>
          <w:tcPr>
            <w:tcW w:w="2043" w:type="dxa"/>
            <w:shd w:val="clear" w:color="auto" w:fill="auto"/>
            <w:tcMar>
              <w:left w:w="108" w:type="dxa"/>
            </w:tcMar>
          </w:tcPr>
          <w:p w14:paraId="3AD52BAD" w14:textId="35ED7A06" w:rsidR="00C63549" w:rsidRDefault="00622AFF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birthweight (grams)</w:t>
            </w:r>
          </w:p>
        </w:tc>
        <w:tc>
          <w:tcPr>
            <w:tcW w:w="2213" w:type="dxa"/>
            <w:shd w:val="clear" w:color="auto" w:fill="auto"/>
            <w:tcMar>
              <w:left w:w="108" w:type="dxa"/>
            </w:tcMar>
            <w:vAlign w:val="center"/>
          </w:tcPr>
          <w:p w14:paraId="1EF96A09" w14:textId="3A3180FB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2.3 [1.9;2.6]</w:t>
            </w: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  <w:vAlign w:val="center"/>
          </w:tcPr>
          <w:p w14:paraId="61659B1B" w14:textId="0526A2EC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2.2 [1.9;2.5]</w:t>
            </w:r>
          </w:p>
        </w:tc>
        <w:tc>
          <w:tcPr>
            <w:tcW w:w="2276" w:type="dxa"/>
            <w:shd w:val="clear" w:color="auto" w:fill="auto"/>
            <w:tcMar>
              <w:left w:w="108" w:type="dxa"/>
            </w:tcMar>
            <w:vAlign w:val="center"/>
          </w:tcPr>
          <w:p w14:paraId="11FC51B9" w14:textId="4754B8DD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2.7 [2.4;3.1]</w:t>
            </w:r>
          </w:p>
        </w:tc>
      </w:tr>
      <w:tr w:rsidR="00C63549" w14:paraId="65B78184" w14:textId="77777777">
        <w:tc>
          <w:tcPr>
            <w:tcW w:w="902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504AEEC9" w14:textId="77777777" w:rsidR="00C63549" w:rsidRDefault="00622AFF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  <w:lang w:val="en-GB"/>
              </w:rPr>
              <w:t>Pre-Term (&lt;37 weeks gestation)</w:t>
            </w:r>
          </w:p>
        </w:tc>
      </w:tr>
      <w:tr w:rsidR="00C63549" w14:paraId="5E963A61" w14:textId="77777777">
        <w:tc>
          <w:tcPr>
            <w:tcW w:w="2043" w:type="dxa"/>
            <w:shd w:val="clear" w:color="auto" w:fill="auto"/>
            <w:tcMar>
              <w:left w:w="108" w:type="dxa"/>
            </w:tcMar>
          </w:tcPr>
          <w:p w14:paraId="4BF07F64" w14:textId="1844DB24" w:rsidR="00C63549" w:rsidRDefault="00622AFF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birthweight (grams)</w:t>
            </w:r>
          </w:p>
        </w:tc>
        <w:tc>
          <w:tcPr>
            <w:tcW w:w="2213" w:type="dxa"/>
            <w:shd w:val="clear" w:color="auto" w:fill="auto"/>
            <w:tcMar>
              <w:left w:w="108" w:type="dxa"/>
            </w:tcMar>
            <w:vAlign w:val="center"/>
          </w:tcPr>
          <w:p w14:paraId="64540262" w14:textId="01505A09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4.3 [2.3;6.2]</w:t>
            </w: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  <w:vAlign w:val="center"/>
          </w:tcPr>
          <w:p w14:paraId="05EC4864" w14:textId="2F762778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4.2 [2.3;6.1]</w:t>
            </w:r>
          </w:p>
        </w:tc>
        <w:tc>
          <w:tcPr>
            <w:tcW w:w="2276" w:type="dxa"/>
            <w:shd w:val="clear" w:color="auto" w:fill="auto"/>
            <w:tcMar>
              <w:left w:w="108" w:type="dxa"/>
            </w:tcMar>
            <w:vAlign w:val="center"/>
          </w:tcPr>
          <w:p w14:paraId="54A1CF30" w14:textId="75E12D08" w:rsidR="00C63549" w:rsidRDefault="00622AF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2"/>
                <w:lang w:val="en-GB"/>
              </w:rPr>
              <w:t>4.3 [2.4;6.3]</w:t>
            </w:r>
          </w:p>
        </w:tc>
      </w:tr>
    </w:tbl>
    <w:p w14:paraId="444A8231" w14:textId="77777777" w:rsidR="00C63549" w:rsidRDefault="00622AFF">
      <w:pPr>
        <w:pStyle w:val="Caption"/>
        <w:spacing w:after="0"/>
        <w:rPr>
          <w:rFonts w:cstheme="majorHAnsi"/>
          <w:color w:val="000000" w:themeColor="text1"/>
          <w:sz w:val="20"/>
          <w:szCs w:val="24"/>
        </w:rPr>
      </w:pPr>
      <w:r>
        <w:rPr>
          <w:rFonts w:cstheme="majorHAnsi"/>
          <w:color w:val="000000" w:themeColor="text1"/>
          <w:sz w:val="20"/>
          <w:szCs w:val="24"/>
          <w:vertAlign w:val="superscript"/>
        </w:rPr>
        <w:t>1</w:t>
      </w:r>
      <w:r>
        <w:rPr>
          <w:rFonts w:cstheme="majorHAnsi"/>
          <w:color w:val="000000" w:themeColor="text1"/>
          <w:sz w:val="20"/>
          <w:szCs w:val="24"/>
        </w:rPr>
        <w:t>Adjusted for maternal age, marital status, area-level deprivation and area-level ethnicity.</w:t>
      </w:r>
    </w:p>
    <w:p w14:paraId="79715B4D" w14:textId="77777777" w:rsidR="00C63549" w:rsidRDefault="00622AFF">
      <w:pPr>
        <w:pStyle w:val="Caption"/>
        <w:rPr>
          <w:rFonts w:cstheme="majorHAnsi"/>
          <w:color w:val="000000" w:themeColor="text1"/>
          <w:sz w:val="20"/>
          <w:szCs w:val="24"/>
        </w:rPr>
      </w:pPr>
      <w:r>
        <w:rPr>
          <w:rFonts w:cstheme="majorHAnsi"/>
          <w:color w:val="000000" w:themeColor="text1"/>
          <w:sz w:val="20"/>
          <w:szCs w:val="24"/>
          <w:vertAlign w:val="superscript"/>
        </w:rPr>
        <w:t>2</w:t>
      </w:r>
      <w:r>
        <w:rPr>
          <w:rFonts w:cstheme="majorHAnsi"/>
          <w:color w:val="000000" w:themeColor="text1"/>
          <w:sz w:val="20"/>
          <w:szCs w:val="24"/>
        </w:rPr>
        <w:t>Adjusted for maternal age, marital status, area-level deprivation and individual level ethnicity.</w:t>
      </w:r>
    </w:p>
    <w:p w14:paraId="0CC8A072" w14:textId="77777777" w:rsidR="00C63549" w:rsidRDefault="00C63549"/>
    <w:p w14:paraId="07BFF87B" w14:textId="6B021E70" w:rsidR="00C63549" w:rsidRDefault="0076258D" w:rsidP="0076258D">
      <w:pPr>
        <w:rPr>
          <w:rFonts w:asciiTheme="minorHAnsi" w:hAnsiTheme="minorHAnsi" w:cstheme="minorHAnsi"/>
          <w:b/>
        </w:rPr>
      </w:pPr>
      <w:r>
        <w:rPr>
          <w:rFonts w:asciiTheme="majorHAnsi" w:hAnsiTheme="majorHAnsi" w:cstheme="majorHAnsi"/>
          <w:b/>
          <w:sz w:val="22"/>
          <w:lang w:val="en-GB"/>
        </w:rPr>
        <w:t>Supplemental t</w:t>
      </w:r>
      <w:r>
        <w:rPr>
          <w:rFonts w:asciiTheme="majorHAnsi" w:hAnsiTheme="majorHAnsi" w:cstheme="majorHAnsi"/>
          <w:b/>
          <w:color w:val="000000" w:themeColor="text1"/>
          <w:sz w:val="22"/>
          <w:lang w:val="en-GB"/>
        </w:rPr>
        <w:t>able 6: Sensitivity analysis - Annual trends in mean birthweight (grams) adjusting for area-level ethnicity split by ethnic groups (1986</w:t>
      </w:r>
      <w:r>
        <w:rPr>
          <w:rFonts w:asciiTheme="majorHAnsi" w:hAnsiTheme="majorHAnsi" w:cstheme="majorHAnsi"/>
          <w:color w:val="000000" w:themeColor="text1"/>
          <w:sz w:val="22"/>
          <w:lang w:val="en-GB"/>
        </w:rPr>
        <w:t>-</w:t>
      </w:r>
      <w:r>
        <w:rPr>
          <w:rFonts w:asciiTheme="majorHAnsi" w:hAnsiTheme="majorHAnsi" w:cstheme="majorHAnsi"/>
          <w:b/>
          <w:sz w:val="22"/>
          <w:lang w:val="en-GB"/>
        </w:rPr>
        <w:t xml:space="preserve">2012)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506"/>
        <w:gridCol w:w="1506"/>
        <w:gridCol w:w="1506"/>
        <w:gridCol w:w="1506"/>
        <w:gridCol w:w="1502"/>
      </w:tblGrid>
      <w:tr w:rsidR="0076258D" w:rsidRPr="00912FE2" w14:paraId="63A125D4" w14:textId="77777777" w:rsidTr="00F809D8">
        <w:trPr>
          <w:trHeight w:val="20"/>
        </w:trPr>
        <w:tc>
          <w:tcPr>
            <w:tcW w:w="827" w:type="pct"/>
            <w:shd w:val="clear" w:color="auto" w:fill="auto"/>
          </w:tcPr>
          <w:p w14:paraId="3733F9A4" w14:textId="77777777" w:rsidR="0076258D" w:rsidRPr="00912FE2" w:rsidRDefault="0076258D" w:rsidP="00F809D8">
            <w:pPr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>Y</w:t>
            </w:r>
            <w:r w:rsidRPr="002D6D81"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 xml:space="preserve">early birthweight change (grams) </w:t>
            </w:r>
            <w:r w:rsidRPr="002D6D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[95% CI]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FFCE902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sz w:val="20"/>
                <w:szCs w:val="20"/>
              </w:rPr>
              <w:t xml:space="preserve">Unadjusted 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483E92B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912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Adjusted</w:t>
            </w:r>
            <w:r w:rsidRPr="00912F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912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+ percentage white 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394B843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2D6D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Adjusted</w:t>
            </w:r>
            <w:r w:rsidRPr="002D6D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2D6D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+ percentage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35" w:type="pct"/>
            <w:shd w:val="clear" w:color="auto" w:fill="auto"/>
          </w:tcPr>
          <w:p w14:paraId="0B6DD189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2D6D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Adjusted</w:t>
            </w:r>
            <w:r w:rsidRPr="002D6D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2D6D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+ percentage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834" w:type="pct"/>
            <w:shd w:val="clear" w:color="auto" w:fill="auto"/>
          </w:tcPr>
          <w:p w14:paraId="0F0C3D87" w14:textId="77777777" w:rsidR="0076258D" w:rsidRPr="00912FE2" w:rsidRDefault="0076258D" w:rsidP="00F809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6D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Adjusted</w:t>
            </w:r>
            <w:r w:rsidRPr="002D6D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2D6D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 percentage white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black &amp; Asian</w:t>
            </w:r>
          </w:p>
        </w:tc>
      </w:tr>
      <w:tr w:rsidR="0076258D" w:rsidRPr="00912FE2" w14:paraId="6971366A" w14:textId="77777777" w:rsidTr="00F809D8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835224A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sz w:val="20"/>
                <w:szCs w:val="20"/>
              </w:rPr>
              <w:t>ONS births 1986-2012</w:t>
            </w:r>
          </w:p>
        </w:tc>
      </w:tr>
      <w:tr w:rsidR="0076258D" w:rsidRPr="00912FE2" w14:paraId="7E32576B" w14:textId="77777777" w:rsidTr="00F809D8">
        <w:trPr>
          <w:trHeight w:val="20"/>
        </w:trPr>
        <w:tc>
          <w:tcPr>
            <w:tcW w:w="827" w:type="pct"/>
            <w:shd w:val="clear" w:color="auto" w:fill="auto"/>
          </w:tcPr>
          <w:p w14:paraId="37416FED" w14:textId="77777777" w:rsidR="0076258D" w:rsidRPr="00912FE2" w:rsidRDefault="0076258D" w:rsidP="00F809D8">
            <w:pPr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sz w:val="20"/>
                <w:szCs w:val="20"/>
              </w:rPr>
              <w:t>Female births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46FB4C2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912F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1.4 [1.3;1.4]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C765244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912F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1.6 [1.5;1.6]</w:t>
            </w:r>
          </w:p>
        </w:tc>
        <w:tc>
          <w:tcPr>
            <w:tcW w:w="835" w:type="pct"/>
            <w:shd w:val="clear" w:color="auto" w:fill="auto"/>
          </w:tcPr>
          <w:p w14:paraId="523EC1BC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>1.4 [1.3;1.4]</w:t>
            </w:r>
          </w:p>
        </w:tc>
        <w:tc>
          <w:tcPr>
            <w:tcW w:w="835" w:type="pct"/>
            <w:shd w:val="clear" w:color="auto" w:fill="auto"/>
          </w:tcPr>
          <w:p w14:paraId="4C9B2AA1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>1.6 [1.5;1.6]</w:t>
            </w:r>
          </w:p>
        </w:tc>
        <w:tc>
          <w:tcPr>
            <w:tcW w:w="834" w:type="pct"/>
            <w:shd w:val="clear" w:color="auto" w:fill="auto"/>
          </w:tcPr>
          <w:p w14:paraId="77BF3A73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>1.6 [1.6;1.7]</w:t>
            </w:r>
          </w:p>
        </w:tc>
      </w:tr>
      <w:tr w:rsidR="0076258D" w:rsidRPr="00912FE2" w14:paraId="29C04F04" w14:textId="77777777" w:rsidTr="00F809D8">
        <w:trPr>
          <w:trHeight w:val="20"/>
        </w:trPr>
        <w:tc>
          <w:tcPr>
            <w:tcW w:w="827" w:type="pct"/>
            <w:shd w:val="clear" w:color="auto" w:fill="auto"/>
          </w:tcPr>
          <w:p w14:paraId="6C5097A2" w14:textId="77777777" w:rsidR="0076258D" w:rsidRPr="00912FE2" w:rsidRDefault="0076258D" w:rsidP="00F809D8">
            <w:pPr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sz w:val="20"/>
                <w:szCs w:val="20"/>
              </w:rPr>
              <w:t>Male  births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AD6141D" w14:textId="77777777" w:rsidR="0076258D" w:rsidRPr="00912FE2" w:rsidRDefault="0076258D" w:rsidP="00F809D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12F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1.4 [1.4;1.5]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1CE9CE3" w14:textId="77777777" w:rsidR="0076258D" w:rsidRPr="00912FE2" w:rsidRDefault="0076258D" w:rsidP="00F809D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12F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1.6 [1.6;1.7]</w:t>
            </w:r>
          </w:p>
        </w:tc>
        <w:tc>
          <w:tcPr>
            <w:tcW w:w="835" w:type="pct"/>
            <w:shd w:val="clear" w:color="auto" w:fill="auto"/>
          </w:tcPr>
          <w:p w14:paraId="5E659026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</w:pPr>
            <w:r w:rsidRPr="002D6D81"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>1.4 [1.3;1.4]</w:t>
            </w:r>
          </w:p>
        </w:tc>
        <w:tc>
          <w:tcPr>
            <w:tcW w:w="835" w:type="pct"/>
            <w:shd w:val="clear" w:color="auto" w:fill="auto"/>
          </w:tcPr>
          <w:p w14:paraId="7957D9EB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>1.6 [1.6;1.7]</w:t>
            </w:r>
          </w:p>
        </w:tc>
        <w:tc>
          <w:tcPr>
            <w:tcW w:w="834" w:type="pct"/>
            <w:shd w:val="clear" w:color="auto" w:fill="auto"/>
          </w:tcPr>
          <w:p w14:paraId="3A4FFD97" w14:textId="77777777" w:rsidR="0076258D" w:rsidRPr="00912FE2" w:rsidRDefault="0076258D" w:rsidP="00F809D8">
            <w:pPr>
              <w:jc w:val="center"/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</w:pPr>
            <w:r w:rsidRPr="00912FE2">
              <w:rPr>
                <w:rFonts w:ascii="Calibri" w:eastAsia="MS Mincho" w:hAnsi="Calibri" w:cs="Calibri"/>
                <w:b/>
                <w:color w:val="000000"/>
                <w:sz w:val="20"/>
                <w:szCs w:val="20"/>
              </w:rPr>
              <w:t>1.6 [1.6;1.7]</w:t>
            </w:r>
          </w:p>
        </w:tc>
      </w:tr>
    </w:tbl>
    <w:p w14:paraId="51A41907" w14:textId="77777777" w:rsidR="0076258D" w:rsidRDefault="0076258D" w:rsidP="0076258D">
      <w:pPr>
        <w:pStyle w:val="Caption"/>
        <w:spacing w:after="0"/>
        <w:rPr>
          <w:rFonts w:cs="Cambria"/>
          <w:i w:val="0"/>
          <w:color w:val="000000"/>
          <w:sz w:val="20"/>
          <w:szCs w:val="24"/>
        </w:rPr>
      </w:pPr>
      <w:r w:rsidRPr="00E01ADF">
        <w:rPr>
          <w:rFonts w:cs="Cambria"/>
          <w:i w:val="0"/>
          <w:color w:val="000000"/>
          <w:sz w:val="20"/>
          <w:szCs w:val="24"/>
          <w:vertAlign w:val="superscript"/>
        </w:rPr>
        <w:t>1</w:t>
      </w:r>
      <w:r w:rsidRPr="00E01ADF">
        <w:rPr>
          <w:rFonts w:cs="Cambria"/>
          <w:i w:val="0"/>
          <w:color w:val="000000"/>
          <w:sz w:val="20"/>
          <w:szCs w:val="24"/>
        </w:rPr>
        <w:t xml:space="preserve">Adjusted for maternal age, marital </w:t>
      </w:r>
      <w:r>
        <w:rPr>
          <w:rFonts w:cs="Cambria"/>
          <w:i w:val="0"/>
          <w:color w:val="000000"/>
          <w:sz w:val="20"/>
          <w:szCs w:val="24"/>
        </w:rPr>
        <w:t>status, area-level deprivation</w:t>
      </w:r>
    </w:p>
    <w:p w14:paraId="1548AB7E" w14:textId="77777777" w:rsidR="0076258D" w:rsidRDefault="0076258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6AAC2999" w14:textId="6B40CF5D" w:rsidR="00C63549" w:rsidRDefault="00622AF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Supplemental table </w:t>
      </w:r>
      <w:r w:rsidR="0076258D">
        <w:rPr>
          <w:rFonts w:asciiTheme="minorHAnsi" w:hAnsiTheme="minorHAnsi" w:cstheme="minorHAnsi"/>
          <w:b/>
          <w:sz w:val="22"/>
        </w:rPr>
        <w:t>7</w:t>
      </w:r>
      <w:r>
        <w:rPr>
          <w:rFonts w:asciiTheme="minorHAnsi" w:hAnsiTheme="minorHAnsi" w:cstheme="minorHAnsi"/>
          <w:b/>
          <w:sz w:val="22"/>
        </w:rPr>
        <w:t>: Mean annual birthweight of all live, singleton births in England and Wales (1986-2012) with years of change – data for figure 2</w:t>
      </w:r>
    </w:p>
    <w:p w14:paraId="69C4C525" w14:textId="77777777" w:rsidR="00C63549" w:rsidRDefault="00C6354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1"/>
        <w:gridCol w:w="3113"/>
        <w:gridCol w:w="3272"/>
      </w:tblGrid>
      <w:tr w:rsidR="00C63549" w14:paraId="0A1A26CB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3CCC123B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Year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7BE42996" w14:textId="30600CBC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Mean male birthweight (grams)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7B1C5C9F" w14:textId="6FD55BFD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Mean female birthweight (grams)</w:t>
            </w:r>
          </w:p>
        </w:tc>
      </w:tr>
      <w:tr w:rsidR="00C63549" w14:paraId="62108CA5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284EE3EF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1986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758B056A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3376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715B992F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3258</w:t>
            </w:r>
          </w:p>
        </w:tc>
      </w:tr>
      <w:tr w:rsidR="00C63549" w14:paraId="6F739F30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2FF0776D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1987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37225023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3385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3A6929C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3267</w:t>
            </w:r>
          </w:p>
        </w:tc>
      </w:tr>
      <w:tr w:rsidR="00C63549" w14:paraId="3DAD60DC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41AED89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6BB8F9B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3399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324FE267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3283</w:t>
            </w:r>
          </w:p>
        </w:tc>
      </w:tr>
      <w:tr w:rsidR="00C63549" w14:paraId="22F6F9C6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3F69B0CA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1989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54AFF93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3400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7DF7B566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3282</w:t>
            </w:r>
          </w:p>
        </w:tc>
      </w:tr>
      <w:tr w:rsidR="00C63549" w14:paraId="7B7D3758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77D8F42C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1990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591C349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3402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2A1B7C53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3283</w:t>
            </w:r>
          </w:p>
        </w:tc>
      </w:tr>
      <w:tr w:rsidR="00C63549" w14:paraId="454F0909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0DC117D8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1991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43BC6A19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3406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2E3F1680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3287</w:t>
            </w:r>
          </w:p>
        </w:tc>
      </w:tr>
      <w:tr w:rsidR="00C63549" w14:paraId="0E63C603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041A84A0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085EA640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3418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321C9A9A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3297</w:t>
            </w:r>
          </w:p>
        </w:tc>
      </w:tr>
      <w:tr w:rsidR="00C63549" w14:paraId="5C6679DC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24B0202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1993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13CF5C4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3420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1514DCC7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3303</w:t>
            </w:r>
          </w:p>
        </w:tc>
      </w:tr>
      <w:tr w:rsidR="00C63549" w14:paraId="26B84F62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625DD645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1994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44F1FDB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3419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12A0325A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3300</w:t>
            </w:r>
          </w:p>
        </w:tc>
      </w:tr>
      <w:tr w:rsidR="00C63549" w14:paraId="2A247B7C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07CA2E48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1995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725E452A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3407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25904143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3289</w:t>
            </w:r>
          </w:p>
        </w:tc>
      </w:tr>
      <w:tr w:rsidR="00C63549" w14:paraId="4D1B5735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54A21D36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1996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6A47804C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3413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5411E216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3291</w:t>
            </w:r>
          </w:p>
        </w:tc>
      </w:tr>
      <w:tr w:rsidR="00C63549" w14:paraId="7B6899B7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2CED77B4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1997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2D15FA00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3410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3F24A206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3291</w:t>
            </w:r>
          </w:p>
        </w:tc>
      </w:tr>
      <w:tr w:rsidR="00C63549" w14:paraId="73DE65F4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76DE040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1998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3E4C8463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3412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187FA4B5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3294</w:t>
            </w:r>
          </w:p>
        </w:tc>
      </w:tr>
      <w:tr w:rsidR="00C63549" w14:paraId="3EE76F7C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35FA364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1999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5B02212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3409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7BBDE42C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3292</w:t>
            </w:r>
          </w:p>
        </w:tc>
      </w:tr>
      <w:tr w:rsidR="00C63549" w14:paraId="5CBC4653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4FACB97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3055019F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3416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482C0B5A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3298</w:t>
            </w:r>
          </w:p>
        </w:tc>
      </w:tr>
      <w:tr w:rsidR="00C63549" w14:paraId="28957AA4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3DE2B4B2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3D3AE2A3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3411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1715561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3294</w:t>
            </w:r>
          </w:p>
        </w:tc>
      </w:tr>
      <w:tr w:rsidR="00C63549" w14:paraId="2A9EEEA0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098EB2D5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2002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426F5345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3407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43DA594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3291</w:t>
            </w:r>
          </w:p>
        </w:tc>
      </w:tr>
      <w:tr w:rsidR="00C63549" w14:paraId="45EE6B1A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2E354C10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4DB3D6C8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3406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07438FC0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3289</w:t>
            </w:r>
          </w:p>
        </w:tc>
      </w:tr>
      <w:tr w:rsidR="00C63549" w14:paraId="56596183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668FA0A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2F14240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3409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32B7F5B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3294</w:t>
            </w:r>
          </w:p>
        </w:tc>
      </w:tr>
      <w:tr w:rsidR="00C63549" w14:paraId="4D064E02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3DFED31B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73F57797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3411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2AF9D252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3296</w:t>
            </w:r>
          </w:p>
        </w:tc>
      </w:tr>
      <w:tr w:rsidR="00C63549" w14:paraId="482C906C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05EB81BD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36DCEF6D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3412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54D9F22D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3294</w:t>
            </w:r>
          </w:p>
        </w:tc>
      </w:tr>
      <w:tr w:rsidR="00C63549" w14:paraId="3E6E9FDE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70AD6489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46F6CBCA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3421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04F4CD24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3303</w:t>
            </w:r>
          </w:p>
        </w:tc>
      </w:tr>
      <w:tr w:rsidR="00C63549" w14:paraId="4FE9F51B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34F7CD8F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2195AC7C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3428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0606DA1B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3309</w:t>
            </w:r>
          </w:p>
        </w:tc>
      </w:tr>
      <w:tr w:rsidR="00C63549" w14:paraId="7611921C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5D6CE898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2009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3623FC9D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3428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1D9EF45F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3309</w:t>
            </w:r>
          </w:p>
        </w:tc>
      </w:tr>
      <w:tr w:rsidR="00C63549" w14:paraId="15EA4CEB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1B1F45D1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19C63054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3434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6338D257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3316</w:t>
            </w:r>
          </w:p>
        </w:tc>
      </w:tr>
      <w:tr w:rsidR="00C63549" w14:paraId="33ED9DBF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589589C5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7BD31F75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3435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6D6AC3FC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3315</w:t>
            </w:r>
          </w:p>
        </w:tc>
      </w:tr>
      <w:tr w:rsidR="00C63549" w14:paraId="6300DC7C" w14:textId="77777777">
        <w:trPr>
          <w:trHeight w:val="300"/>
        </w:trPr>
        <w:tc>
          <w:tcPr>
            <w:tcW w:w="2634" w:type="dxa"/>
            <w:shd w:val="clear" w:color="auto" w:fill="auto"/>
            <w:tcMar>
              <w:left w:w="108" w:type="dxa"/>
            </w:tcMar>
            <w:vAlign w:val="center"/>
          </w:tcPr>
          <w:p w14:paraId="3DC98453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14:paraId="76E6391E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3436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14:paraId="792A3359" w14:textId="77777777" w:rsidR="00C63549" w:rsidRDefault="00622A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3316</w:t>
            </w:r>
          </w:p>
        </w:tc>
      </w:tr>
    </w:tbl>
    <w:p w14:paraId="33176454" w14:textId="6736F4FD" w:rsidR="00C63549" w:rsidRDefault="00622AF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Bold = </w:t>
      </w:r>
      <w:r>
        <w:rPr>
          <w:rFonts w:asciiTheme="minorHAnsi" w:hAnsiTheme="minorHAnsi" w:cstheme="minorHAnsi"/>
          <w:sz w:val="20"/>
        </w:rPr>
        <w:t>Potential temporal points of change in the average yearly birthweight</w:t>
      </w:r>
    </w:p>
    <w:p w14:paraId="2370B7D8" w14:textId="77777777" w:rsidR="00C63549" w:rsidRDefault="00622AFF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  <w:vertAlign w:val="superscript"/>
        </w:rPr>
        <w:t xml:space="preserve">1 </w:t>
      </w:r>
      <w:r>
        <w:rPr>
          <w:rFonts w:asciiTheme="minorHAnsi" w:hAnsiTheme="minorHAnsi" w:cstheme="minorHAnsi"/>
          <w:sz w:val="20"/>
        </w:rPr>
        <w:t>Potential points of change in female births only</w:t>
      </w:r>
    </w:p>
    <w:p w14:paraId="36499E54" w14:textId="77777777" w:rsidR="00C63549" w:rsidRDefault="00C63549"/>
    <w:p w14:paraId="5245B98B" w14:textId="77777777" w:rsidR="00C63549" w:rsidRDefault="00C63549">
      <w:pPr>
        <w:pStyle w:val="Caption"/>
        <w:spacing w:after="0"/>
        <w:rPr>
          <w:rFonts w:cs="Cambria"/>
          <w:i w:val="0"/>
          <w:color w:val="000000"/>
          <w:sz w:val="20"/>
          <w:szCs w:val="24"/>
        </w:rPr>
      </w:pPr>
    </w:p>
    <w:p w14:paraId="57EBF638" w14:textId="77777777" w:rsidR="00C63549" w:rsidRDefault="00C63549"/>
    <w:sectPr w:rsidR="00C63549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DC0AF" w14:textId="77777777" w:rsidR="00731DFE" w:rsidRDefault="00731DFE">
      <w:r>
        <w:separator/>
      </w:r>
    </w:p>
  </w:endnote>
  <w:endnote w:type="continuationSeparator" w:id="0">
    <w:p w14:paraId="7F6BFFE8" w14:textId="77777777" w:rsidR="00731DFE" w:rsidRDefault="0073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16909" w14:textId="77777777" w:rsidR="00731DFE" w:rsidRDefault="00731DFE">
      <w:r>
        <w:separator/>
      </w:r>
    </w:p>
  </w:footnote>
  <w:footnote w:type="continuationSeparator" w:id="0">
    <w:p w14:paraId="0B980843" w14:textId="77777777" w:rsidR="00731DFE" w:rsidRDefault="0073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831228"/>
      <w:docPartObj>
        <w:docPartGallery w:val="Page Numbers (Top of Page)"/>
        <w:docPartUnique/>
      </w:docPartObj>
    </w:sdtPr>
    <w:sdtEndPr/>
    <w:sdtContent>
      <w:p w14:paraId="4DFBA4BC" w14:textId="452CFF63" w:rsidR="007C014D" w:rsidRDefault="007C014D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0992">
          <w:rPr>
            <w:noProof/>
          </w:rPr>
          <w:t>6</w:t>
        </w:r>
        <w:r>
          <w:fldChar w:fldCharType="end"/>
        </w:r>
      </w:p>
    </w:sdtContent>
  </w:sdt>
  <w:p w14:paraId="49EBA9B9" w14:textId="77777777" w:rsidR="007C014D" w:rsidRDefault="007C0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49"/>
    <w:rsid w:val="001668B3"/>
    <w:rsid w:val="00285D6D"/>
    <w:rsid w:val="002A4F53"/>
    <w:rsid w:val="002D34CB"/>
    <w:rsid w:val="004350B1"/>
    <w:rsid w:val="00474E31"/>
    <w:rsid w:val="004C25FF"/>
    <w:rsid w:val="00510992"/>
    <w:rsid w:val="00526293"/>
    <w:rsid w:val="005300D4"/>
    <w:rsid w:val="00531B05"/>
    <w:rsid w:val="00590D4A"/>
    <w:rsid w:val="00605CBC"/>
    <w:rsid w:val="0061326A"/>
    <w:rsid w:val="00622AFF"/>
    <w:rsid w:val="00626A55"/>
    <w:rsid w:val="006900A4"/>
    <w:rsid w:val="007269A6"/>
    <w:rsid w:val="00731DFE"/>
    <w:rsid w:val="0076258D"/>
    <w:rsid w:val="007C014D"/>
    <w:rsid w:val="00854744"/>
    <w:rsid w:val="00890CD5"/>
    <w:rsid w:val="008B1D73"/>
    <w:rsid w:val="008B3D89"/>
    <w:rsid w:val="009D2594"/>
    <w:rsid w:val="00A033B1"/>
    <w:rsid w:val="00AA7866"/>
    <w:rsid w:val="00B74683"/>
    <w:rsid w:val="00C3415A"/>
    <w:rsid w:val="00C63549"/>
    <w:rsid w:val="00D22D4E"/>
    <w:rsid w:val="00D92A81"/>
    <w:rsid w:val="00E20C71"/>
    <w:rsid w:val="00EA6882"/>
    <w:rsid w:val="00EC5ACD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1FD0"/>
  <w15:docId w15:val="{E3066006-B4FB-4B20-8F75-76F2748B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6B"/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D53C9"/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53C9"/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7B36"/>
    <w:rPr>
      <w:rFonts w:ascii="Tahoma" w:eastAsiaTheme="minorEastAsia" w:hAnsi="Tahoma" w:cs="Tahoma"/>
      <w:sz w:val="16"/>
      <w:szCs w:val="16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358D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358D0"/>
    <w:rPr>
      <w:rFonts w:ascii="Times New Roman" w:eastAsiaTheme="minorEastAsia" w:hAnsi="Times New Roman" w:cs="Times New Roman"/>
      <w:sz w:val="20"/>
      <w:szCs w:val="20"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358D0"/>
    <w:rPr>
      <w:rFonts w:ascii="Times New Roman" w:eastAsiaTheme="minorEastAsia" w:hAnsi="Times New Roman" w:cs="Times New Roman"/>
      <w:b/>
      <w:bCs/>
      <w:sz w:val="20"/>
      <w:szCs w:val="20"/>
      <w:lang w:val="nb-NO" w:eastAsia="nb-N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DE736B"/>
    <w:pPr>
      <w:spacing w:after="200"/>
    </w:pPr>
    <w:rPr>
      <w:rFonts w:asciiTheme="majorHAnsi" w:hAnsiTheme="majorHAnsi" w:cstheme="minorBidi"/>
      <w:i/>
      <w:iCs/>
      <w:color w:val="44546A" w:themeColor="text2"/>
      <w:sz w:val="18"/>
      <w:szCs w:val="18"/>
      <w:lang w:val="en-GB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D53C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D53C9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7B3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358D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358D0"/>
    <w:rPr>
      <w:b/>
      <w:bCs/>
    </w:rPr>
  </w:style>
  <w:style w:type="paragraph" w:styleId="Revision">
    <w:name w:val="Revision"/>
    <w:uiPriority w:val="99"/>
    <w:semiHidden/>
    <w:qFormat/>
    <w:rsid w:val="00E358D0"/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paragraph" w:customStyle="1" w:styleId="FrameContents">
    <w:name w:val="Frame Contents"/>
    <w:basedOn w:val="Normal"/>
    <w:qFormat/>
  </w:style>
  <w:style w:type="table" w:styleId="LightShading-Accent1">
    <w:name w:val="Light Shading Accent 1"/>
    <w:basedOn w:val="TableNormal"/>
    <w:uiPriority w:val="60"/>
    <w:unhideWhenUsed/>
    <w:rsid w:val="00DE736B"/>
    <w:rPr>
      <w:rFonts w:eastAsiaTheme="minorEastAsia"/>
      <w:color w:val="2E74B5" w:themeColor="accent1" w:themeShade="BF"/>
      <w:sz w:val="24"/>
      <w:szCs w:val="24"/>
      <w:lang w:val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afterLines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afterLines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59"/>
    <w:rsid w:val="00DE736B"/>
    <w:rPr>
      <w:rFonts w:eastAsiaTheme="minorEastAsia"/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25F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0282544227426117"/>
          <c:y val="8.9034079595185125E-2"/>
          <c:w val="0.88063895422163141"/>
          <c:h val="0.79666984545248098"/>
        </c:manualLayout>
      </c:layout>
      <c:lineChart>
        <c:grouping val="standar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VLBW (f)</c:v>
                </c:pt>
              </c:strCache>
            </c:strRef>
          </c:tx>
          <c:spPr>
            <a:ln w="28440">
              <a:solidFill>
                <a:srgbClr val="FF0000"/>
              </a:solidFill>
              <a:prstDash val="dash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7"/>
                <c:pt idx="0">
                  <c:v>0.72</c:v>
                </c:pt>
                <c:pt idx="1">
                  <c:v>0.74</c:v>
                </c:pt>
                <c:pt idx="2">
                  <c:v>0.73</c:v>
                </c:pt>
                <c:pt idx="3">
                  <c:v>0.73</c:v>
                </c:pt>
                <c:pt idx="4">
                  <c:v>0.74</c:v>
                </c:pt>
                <c:pt idx="5">
                  <c:v>0.75</c:v>
                </c:pt>
                <c:pt idx="6">
                  <c:v>0.79</c:v>
                </c:pt>
                <c:pt idx="7">
                  <c:v>0.76</c:v>
                </c:pt>
                <c:pt idx="8">
                  <c:v>0.82</c:v>
                </c:pt>
                <c:pt idx="9">
                  <c:v>0.88</c:v>
                </c:pt>
                <c:pt idx="10">
                  <c:v>0.93</c:v>
                </c:pt>
                <c:pt idx="11">
                  <c:v>0.93</c:v>
                </c:pt>
                <c:pt idx="12">
                  <c:v>0.93</c:v>
                </c:pt>
                <c:pt idx="13">
                  <c:v>0.93</c:v>
                </c:pt>
                <c:pt idx="14">
                  <c:v>0.92</c:v>
                </c:pt>
                <c:pt idx="15">
                  <c:v>0.92</c:v>
                </c:pt>
                <c:pt idx="16">
                  <c:v>0.91</c:v>
                </c:pt>
                <c:pt idx="17">
                  <c:v>0.96</c:v>
                </c:pt>
                <c:pt idx="18">
                  <c:v>0.92</c:v>
                </c:pt>
                <c:pt idx="19">
                  <c:v>0.89</c:v>
                </c:pt>
                <c:pt idx="20">
                  <c:v>0.91</c:v>
                </c:pt>
                <c:pt idx="21">
                  <c:v>0.83</c:v>
                </c:pt>
                <c:pt idx="22">
                  <c:v>0.8</c:v>
                </c:pt>
                <c:pt idx="23">
                  <c:v>0.81</c:v>
                </c:pt>
                <c:pt idx="24">
                  <c:v>0.74</c:v>
                </c:pt>
                <c:pt idx="25">
                  <c:v>0.76</c:v>
                </c:pt>
                <c:pt idx="26">
                  <c:v>0.72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BC8-4D4C-84E5-96150188466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LBW (f)</c:v>
                </c:pt>
              </c:strCache>
            </c:strRef>
          </c:tx>
          <c:spPr>
            <a:ln w="28440">
              <a:solidFill>
                <a:srgbClr val="FFC000"/>
              </a:solidFill>
              <a:prstDash val="dash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7"/>
                <c:pt idx="0">
                  <c:v>6.39</c:v>
                </c:pt>
                <c:pt idx="1">
                  <c:v>6.26</c:v>
                </c:pt>
                <c:pt idx="2">
                  <c:v>5.91</c:v>
                </c:pt>
                <c:pt idx="3">
                  <c:v>6.02</c:v>
                </c:pt>
                <c:pt idx="4">
                  <c:v>6.1</c:v>
                </c:pt>
                <c:pt idx="5">
                  <c:v>6.1899999999999986</c:v>
                </c:pt>
                <c:pt idx="6">
                  <c:v>6.04</c:v>
                </c:pt>
                <c:pt idx="7">
                  <c:v>5.99</c:v>
                </c:pt>
                <c:pt idx="8">
                  <c:v>6.08</c:v>
                </c:pt>
                <c:pt idx="9">
                  <c:v>6.3599999999999977</c:v>
                </c:pt>
                <c:pt idx="10">
                  <c:v>6.38</c:v>
                </c:pt>
                <c:pt idx="11">
                  <c:v>6.45</c:v>
                </c:pt>
                <c:pt idx="12">
                  <c:v>6.52</c:v>
                </c:pt>
                <c:pt idx="13">
                  <c:v>6.56</c:v>
                </c:pt>
                <c:pt idx="14">
                  <c:v>6.54</c:v>
                </c:pt>
                <c:pt idx="15">
                  <c:v>6.56</c:v>
                </c:pt>
                <c:pt idx="16">
                  <c:v>6.67</c:v>
                </c:pt>
                <c:pt idx="17">
                  <c:v>6.68</c:v>
                </c:pt>
                <c:pt idx="18">
                  <c:v>6.51</c:v>
                </c:pt>
                <c:pt idx="19">
                  <c:v>6.38</c:v>
                </c:pt>
                <c:pt idx="20">
                  <c:v>6.43</c:v>
                </c:pt>
                <c:pt idx="21">
                  <c:v>6.18</c:v>
                </c:pt>
                <c:pt idx="22">
                  <c:v>5.97</c:v>
                </c:pt>
                <c:pt idx="23">
                  <c:v>5.97</c:v>
                </c:pt>
                <c:pt idx="24">
                  <c:v>5.7</c:v>
                </c:pt>
                <c:pt idx="25">
                  <c:v>5.84</c:v>
                </c:pt>
                <c:pt idx="26">
                  <c:v>5.77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BC8-4D4C-84E5-961501884664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HBW (f)</c:v>
                </c:pt>
              </c:strCache>
            </c:strRef>
          </c:tx>
          <c:spPr>
            <a:ln w="28440">
              <a:solidFill>
                <a:srgbClr val="4F81BD"/>
              </a:solidFill>
              <a:prstDash val="dash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7"/>
                <c:pt idx="0">
                  <c:v>6.72</c:v>
                </c:pt>
                <c:pt idx="1">
                  <c:v>7</c:v>
                </c:pt>
                <c:pt idx="2">
                  <c:v>7.47</c:v>
                </c:pt>
                <c:pt idx="3">
                  <c:v>7.49</c:v>
                </c:pt>
                <c:pt idx="4">
                  <c:v>7.6899999999999986</c:v>
                </c:pt>
                <c:pt idx="5">
                  <c:v>7.9</c:v>
                </c:pt>
                <c:pt idx="6">
                  <c:v>8.2900000000000009</c:v>
                </c:pt>
                <c:pt idx="7">
                  <c:v>8.56</c:v>
                </c:pt>
                <c:pt idx="8">
                  <c:v>8.51</c:v>
                </c:pt>
                <c:pt idx="9">
                  <c:v>8.2000000000000011</c:v>
                </c:pt>
                <c:pt idx="10">
                  <c:v>8.33</c:v>
                </c:pt>
                <c:pt idx="11">
                  <c:v>8.39</c:v>
                </c:pt>
                <c:pt idx="12">
                  <c:v>8.58</c:v>
                </c:pt>
                <c:pt idx="13">
                  <c:v>8.5300000000000011</c:v>
                </c:pt>
                <c:pt idx="14">
                  <c:v>8.7800000000000011</c:v>
                </c:pt>
                <c:pt idx="15">
                  <c:v>8.76</c:v>
                </c:pt>
                <c:pt idx="16">
                  <c:v>8.620000000000001</c:v>
                </c:pt>
                <c:pt idx="17">
                  <c:v>8.49</c:v>
                </c:pt>
                <c:pt idx="18">
                  <c:v>8.66</c:v>
                </c:pt>
                <c:pt idx="19">
                  <c:v>8.6</c:v>
                </c:pt>
                <c:pt idx="20">
                  <c:v>8.5300000000000011</c:v>
                </c:pt>
                <c:pt idx="21">
                  <c:v>8.7800000000000011</c:v>
                </c:pt>
                <c:pt idx="22">
                  <c:v>8.85</c:v>
                </c:pt>
                <c:pt idx="23">
                  <c:v>8.7800000000000011</c:v>
                </c:pt>
                <c:pt idx="24">
                  <c:v>8.94</c:v>
                </c:pt>
                <c:pt idx="25">
                  <c:v>8.9</c:v>
                </c:pt>
                <c:pt idx="26">
                  <c:v>8.84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BC8-4D4C-84E5-961501884664}"/>
            </c:ext>
          </c:extLst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VLBW (m)</c:v>
                </c:pt>
              </c:strCache>
            </c:strRef>
          </c:tx>
          <c:spPr>
            <a:ln w="28440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27"/>
                <c:pt idx="0">
                  <c:v>0.74</c:v>
                </c:pt>
                <c:pt idx="1">
                  <c:v>0.78</c:v>
                </c:pt>
                <c:pt idx="2">
                  <c:v>0.75</c:v>
                </c:pt>
                <c:pt idx="3">
                  <c:v>0.74</c:v>
                </c:pt>
                <c:pt idx="4">
                  <c:v>0.73</c:v>
                </c:pt>
                <c:pt idx="5">
                  <c:v>0.76</c:v>
                </c:pt>
                <c:pt idx="6">
                  <c:v>0.8</c:v>
                </c:pt>
                <c:pt idx="7">
                  <c:v>0.79</c:v>
                </c:pt>
                <c:pt idx="8">
                  <c:v>0.84</c:v>
                </c:pt>
                <c:pt idx="9">
                  <c:v>0.89</c:v>
                </c:pt>
                <c:pt idx="10">
                  <c:v>0.89</c:v>
                </c:pt>
                <c:pt idx="11">
                  <c:v>0.92</c:v>
                </c:pt>
                <c:pt idx="12">
                  <c:v>0.9</c:v>
                </c:pt>
                <c:pt idx="13">
                  <c:v>0.95</c:v>
                </c:pt>
                <c:pt idx="14">
                  <c:v>0.92</c:v>
                </c:pt>
                <c:pt idx="15">
                  <c:v>0.95</c:v>
                </c:pt>
                <c:pt idx="16">
                  <c:v>0.95</c:v>
                </c:pt>
                <c:pt idx="17">
                  <c:v>0.94</c:v>
                </c:pt>
                <c:pt idx="18">
                  <c:v>0.94</c:v>
                </c:pt>
                <c:pt idx="19">
                  <c:v>0.91</c:v>
                </c:pt>
                <c:pt idx="20">
                  <c:v>0.89</c:v>
                </c:pt>
                <c:pt idx="21">
                  <c:v>0.84</c:v>
                </c:pt>
                <c:pt idx="22">
                  <c:v>0.82</c:v>
                </c:pt>
                <c:pt idx="23">
                  <c:v>0.8</c:v>
                </c:pt>
                <c:pt idx="24">
                  <c:v>0.76</c:v>
                </c:pt>
                <c:pt idx="25">
                  <c:v>0.75</c:v>
                </c:pt>
                <c:pt idx="26">
                  <c:v>0.72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BC8-4D4C-84E5-961501884664}"/>
            </c:ext>
          </c:extLst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LBW (m)</c:v>
                </c:pt>
              </c:strCache>
            </c:strRef>
          </c:tx>
          <c:spPr>
            <a:ln w="28440">
              <a:solidFill>
                <a:srgbClr val="FFC000"/>
              </a:solidFill>
              <a:custDash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27"/>
                <c:pt idx="0">
                  <c:v>5.44</c:v>
                </c:pt>
                <c:pt idx="1">
                  <c:v>5.37</c:v>
                </c:pt>
                <c:pt idx="2">
                  <c:v>5.22</c:v>
                </c:pt>
                <c:pt idx="3">
                  <c:v>5.25</c:v>
                </c:pt>
                <c:pt idx="4">
                  <c:v>5.23</c:v>
                </c:pt>
                <c:pt idx="5">
                  <c:v>5.3</c:v>
                </c:pt>
                <c:pt idx="6">
                  <c:v>5.1599999999999984</c:v>
                </c:pt>
                <c:pt idx="7">
                  <c:v>5.27</c:v>
                </c:pt>
                <c:pt idx="8">
                  <c:v>5.31</c:v>
                </c:pt>
                <c:pt idx="9">
                  <c:v>5.55</c:v>
                </c:pt>
                <c:pt idx="10">
                  <c:v>5.45</c:v>
                </c:pt>
                <c:pt idx="11">
                  <c:v>5.55</c:v>
                </c:pt>
                <c:pt idx="12">
                  <c:v>5.6</c:v>
                </c:pt>
                <c:pt idx="13">
                  <c:v>5.71</c:v>
                </c:pt>
                <c:pt idx="14">
                  <c:v>5.6499999999999977</c:v>
                </c:pt>
                <c:pt idx="15">
                  <c:v>5.71</c:v>
                </c:pt>
                <c:pt idx="16">
                  <c:v>5.75</c:v>
                </c:pt>
                <c:pt idx="17">
                  <c:v>5.72</c:v>
                </c:pt>
                <c:pt idx="18">
                  <c:v>5.6199999999999983</c:v>
                </c:pt>
                <c:pt idx="19">
                  <c:v>5.6099999999999977</c:v>
                </c:pt>
                <c:pt idx="20">
                  <c:v>5.58</c:v>
                </c:pt>
                <c:pt idx="21">
                  <c:v>5.29</c:v>
                </c:pt>
                <c:pt idx="22">
                  <c:v>5.13</c:v>
                </c:pt>
                <c:pt idx="23">
                  <c:v>5.0199999999999996</c:v>
                </c:pt>
                <c:pt idx="24">
                  <c:v>4.97</c:v>
                </c:pt>
                <c:pt idx="25">
                  <c:v>4.9400000000000004</c:v>
                </c:pt>
                <c:pt idx="26">
                  <c:v>4.8499999999999996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BC8-4D4C-84E5-961501884664}"/>
            </c:ext>
          </c:extLst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HBW (m)</c:v>
                </c:pt>
              </c:strCache>
            </c:strRef>
          </c:tx>
          <c:spPr>
            <a:ln w="28440">
              <a:solidFill>
                <a:srgbClr val="4F81BD"/>
              </a:solidFill>
              <a:custDash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27"/>
                <c:pt idx="0">
                  <c:v>11.63</c:v>
                </c:pt>
                <c:pt idx="1">
                  <c:v>12.09</c:v>
                </c:pt>
                <c:pt idx="2">
                  <c:v>12.71</c:v>
                </c:pt>
                <c:pt idx="3">
                  <c:v>12.83</c:v>
                </c:pt>
                <c:pt idx="4">
                  <c:v>13.05</c:v>
                </c:pt>
                <c:pt idx="5">
                  <c:v>13.21</c:v>
                </c:pt>
                <c:pt idx="6">
                  <c:v>13.96</c:v>
                </c:pt>
                <c:pt idx="7">
                  <c:v>14.14</c:v>
                </c:pt>
                <c:pt idx="8">
                  <c:v>14.16</c:v>
                </c:pt>
                <c:pt idx="9">
                  <c:v>13.7</c:v>
                </c:pt>
                <c:pt idx="10">
                  <c:v>13.87</c:v>
                </c:pt>
                <c:pt idx="11">
                  <c:v>13.79</c:v>
                </c:pt>
                <c:pt idx="12">
                  <c:v>14.04</c:v>
                </c:pt>
                <c:pt idx="13">
                  <c:v>14.02</c:v>
                </c:pt>
                <c:pt idx="14">
                  <c:v>14.34</c:v>
                </c:pt>
                <c:pt idx="15">
                  <c:v>14.15</c:v>
                </c:pt>
                <c:pt idx="16">
                  <c:v>14.01</c:v>
                </c:pt>
                <c:pt idx="17">
                  <c:v>14.04</c:v>
                </c:pt>
                <c:pt idx="18">
                  <c:v>14.11</c:v>
                </c:pt>
                <c:pt idx="19">
                  <c:v>14.1</c:v>
                </c:pt>
                <c:pt idx="20">
                  <c:v>13.96</c:v>
                </c:pt>
                <c:pt idx="21">
                  <c:v>14.25</c:v>
                </c:pt>
                <c:pt idx="22">
                  <c:v>14.48</c:v>
                </c:pt>
                <c:pt idx="23">
                  <c:v>14.29</c:v>
                </c:pt>
                <c:pt idx="24">
                  <c:v>14.56</c:v>
                </c:pt>
                <c:pt idx="25">
                  <c:v>14.6</c:v>
                </c:pt>
                <c:pt idx="26">
                  <c:v>14.57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BC8-4D4C-84E5-961501884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100669040"/>
        <c:axId val="100668648"/>
      </c:lineChart>
      <c:catAx>
        <c:axId val="100669040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defRPr>
                </a:pPr>
                <a:r>
                  <a:rPr lang="en-GB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rPr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 Light"/>
              </a:defRPr>
            </a:pPr>
            <a:endParaRPr lang="en-US"/>
          </a:p>
        </c:txPr>
        <c:crossAx val="100668648"/>
        <c:crosses val="autoZero"/>
        <c:auto val="1"/>
        <c:lblAlgn val="ctr"/>
        <c:lblOffset val="100"/>
        <c:noMultiLvlLbl val="1"/>
      </c:catAx>
      <c:valAx>
        <c:axId val="100668648"/>
        <c:scaling>
          <c:orientation val="minMax"/>
          <c:max val="16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defRPr>
                </a:pPr>
                <a:r>
                  <a:rPr lang="en-GB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rPr>
                  <a:t>Proportion of live, singleton births (%)
</a:t>
                </a:r>
              </a:p>
            </c:rich>
          </c:tx>
          <c:layout>
            <c:manualLayout>
              <c:xMode val="edge"/>
              <c:yMode val="edge"/>
              <c:x val="1.2987012987012988E-2"/>
              <c:y val="0.3621388532828745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 Light"/>
              </a:defRPr>
            </a:pPr>
            <a:endParaRPr lang="en-US"/>
          </a:p>
        </c:txPr>
        <c:crossAx val="100669040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179042177867302"/>
          <c:y val="2.0348227848941001E-2"/>
          <c:w val="0.72666691082219403"/>
          <c:h val="7.3601848488337798E-2"/>
        </c:manualLayout>
      </c:layout>
      <c:overlay val="1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&lt;20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7"/>
                <c:pt idx="0">
                  <c:v>8.7800000000000011</c:v>
                </c:pt>
                <c:pt idx="1">
                  <c:v>8.5400000000000009</c:v>
                </c:pt>
                <c:pt idx="2">
                  <c:v>8.5400000000000009</c:v>
                </c:pt>
                <c:pt idx="3">
                  <c:v>8.14</c:v>
                </c:pt>
                <c:pt idx="4">
                  <c:v>8.01</c:v>
                </c:pt>
                <c:pt idx="5">
                  <c:v>7.6</c:v>
                </c:pt>
                <c:pt idx="6">
                  <c:v>7.06</c:v>
                </c:pt>
                <c:pt idx="7">
                  <c:v>6.8</c:v>
                </c:pt>
                <c:pt idx="8">
                  <c:v>6.44</c:v>
                </c:pt>
                <c:pt idx="9">
                  <c:v>6.55</c:v>
                </c:pt>
                <c:pt idx="10">
                  <c:v>6.98</c:v>
                </c:pt>
                <c:pt idx="11">
                  <c:v>7.33</c:v>
                </c:pt>
                <c:pt idx="12">
                  <c:v>7.72</c:v>
                </c:pt>
                <c:pt idx="13">
                  <c:v>7.9</c:v>
                </c:pt>
                <c:pt idx="14">
                  <c:v>7.7</c:v>
                </c:pt>
                <c:pt idx="15">
                  <c:v>7.55</c:v>
                </c:pt>
                <c:pt idx="16">
                  <c:v>7.4</c:v>
                </c:pt>
                <c:pt idx="17">
                  <c:v>7.23</c:v>
                </c:pt>
                <c:pt idx="18">
                  <c:v>7.1599999999999984</c:v>
                </c:pt>
                <c:pt idx="19">
                  <c:v>7.05</c:v>
                </c:pt>
                <c:pt idx="20">
                  <c:v>6.92</c:v>
                </c:pt>
                <c:pt idx="21">
                  <c:v>6.6</c:v>
                </c:pt>
                <c:pt idx="22">
                  <c:v>6.42</c:v>
                </c:pt>
                <c:pt idx="23">
                  <c:v>6.24</c:v>
                </c:pt>
                <c:pt idx="24">
                  <c:v>5.72</c:v>
                </c:pt>
                <c:pt idx="25">
                  <c:v>5.14</c:v>
                </c:pt>
                <c:pt idx="26">
                  <c:v>4.72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71-458F-83AB-631497F70221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20-24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7"/>
                <c:pt idx="0">
                  <c:v>29</c:v>
                </c:pt>
                <c:pt idx="1">
                  <c:v>28.31</c:v>
                </c:pt>
                <c:pt idx="2">
                  <c:v>27.88</c:v>
                </c:pt>
                <c:pt idx="3">
                  <c:v>26.91</c:v>
                </c:pt>
                <c:pt idx="4">
                  <c:v>25.71</c:v>
                </c:pt>
                <c:pt idx="5">
                  <c:v>25</c:v>
                </c:pt>
                <c:pt idx="6">
                  <c:v>23.88</c:v>
                </c:pt>
                <c:pt idx="7">
                  <c:v>22.75</c:v>
                </c:pt>
                <c:pt idx="8">
                  <c:v>21.3</c:v>
                </c:pt>
                <c:pt idx="9">
                  <c:v>20.329999999999991</c:v>
                </c:pt>
                <c:pt idx="10">
                  <c:v>19.53</c:v>
                </c:pt>
                <c:pt idx="11">
                  <c:v>18.63</c:v>
                </c:pt>
                <c:pt idx="12">
                  <c:v>18.02</c:v>
                </c:pt>
                <c:pt idx="13">
                  <c:v>18</c:v>
                </c:pt>
                <c:pt idx="14">
                  <c:v>18.03</c:v>
                </c:pt>
                <c:pt idx="15">
                  <c:v>18.510000000000009</c:v>
                </c:pt>
                <c:pt idx="16">
                  <c:v>18.8</c:v>
                </c:pt>
                <c:pt idx="17">
                  <c:v>18.97</c:v>
                </c:pt>
                <c:pt idx="18">
                  <c:v>19.13</c:v>
                </c:pt>
                <c:pt idx="19">
                  <c:v>19.12</c:v>
                </c:pt>
                <c:pt idx="20">
                  <c:v>19.3</c:v>
                </c:pt>
                <c:pt idx="21">
                  <c:v>19.18</c:v>
                </c:pt>
                <c:pt idx="22">
                  <c:v>19.420000000000002</c:v>
                </c:pt>
                <c:pt idx="23">
                  <c:v>19.5</c:v>
                </c:pt>
                <c:pt idx="24">
                  <c:v>19.239999999999991</c:v>
                </c:pt>
                <c:pt idx="25">
                  <c:v>18.89</c:v>
                </c:pt>
                <c:pt idx="26">
                  <c:v>18.399999999999999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71-458F-83AB-631497F70221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25-29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7"/>
                <c:pt idx="0">
                  <c:v>34.57</c:v>
                </c:pt>
                <c:pt idx="1">
                  <c:v>34.979999999999997</c:v>
                </c:pt>
                <c:pt idx="2">
                  <c:v>35</c:v>
                </c:pt>
                <c:pt idx="3">
                  <c:v>35.33</c:v>
                </c:pt>
                <c:pt idx="4">
                  <c:v>35.75</c:v>
                </c:pt>
                <c:pt idx="5">
                  <c:v>35.1</c:v>
                </c:pt>
                <c:pt idx="6">
                  <c:v>35.53</c:v>
                </c:pt>
                <c:pt idx="7">
                  <c:v>35.130000000000003</c:v>
                </c:pt>
                <c:pt idx="8">
                  <c:v>34.54</c:v>
                </c:pt>
                <c:pt idx="9">
                  <c:v>33.590000000000003</c:v>
                </c:pt>
                <c:pt idx="10">
                  <c:v>32.590000000000003</c:v>
                </c:pt>
                <c:pt idx="11">
                  <c:v>31.64</c:v>
                </c:pt>
                <c:pt idx="12">
                  <c:v>30.48</c:v>
                </c:pt>
                <c:pt idx="13">
                  <c:v>29.33</c:v>
                </c:pt>
                <c:pt idx="14">
                  <c:v>28.36</c:v>
                </c:pt>
                <c:pt idx="15">
                  <c:v>27</c:v>
                </c:pt>
                <c:pt idx="16">
                  <c:v>25.83</c:v>
                </c:pt>
                <c:pt idx="17">
                  <c:v>25.36</c:v>
                </c:pt>
                <c:pt idx="18">
                  <c:v>25.1</c:v>
                </c:pt>
                <c:pt idx="19">
                  <c:v>25.52</c:v>
                </c:pt>
                <c:pt idx="20">
                  <c:v>25.87</c:v>
                </c:pt>
                <c:pt idx="21">
                  <c:v>26.57</c:v>
                </c:pt>
                <c:pt idx="22">
                  <c:v>27.36</c:v>
                </c:pt>
                <c:pt idx="23">
                  <c:v>27.66</c:v>
                </c:pt>
                <c:pt idx="24">
                  <c:v>27.7</c:v>
                </c:pt>
                <c:pt idx="25">
                  <c:v>27.88</c:v>
                </c:pt>
                <c:pt idx="26">
                  <c:v>27.89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71-458F-83AB-631497F70221}"/>
            </c:ext>
          </c:extLst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30-34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27"/>
                <c:pt idx="0">
                  <c:v>19.62</c:v>
                </c:pt>
                <c:pt idx="1">
                  <c:v>20.010000000000009</c:v>
                </c:pt>
                <c:pt idx="2">
                  <c:v>20.34</c:v>
                </c:pt>
                <c:pt idx="3">
                  <c:v>21.06</c:v>
                </c:pt>
                <c:pt idx="4">
                  <c:v>21.91</c:v>
                </c:pt>
                <c:pt idx="5">
                  <c:v>22.9</c:v>
                </c:pt>
                <c:pt idx="6">
                  <c:v>23.98</c:v>
                </c:pt>
                <c:pt idx="7">
                  <c:v>25.19</c:v>
                </c:pt>
                <c:pt idx="8">
                  <c:v>26.79</c:v>
                </c:pt>
                <c:pt idx="9">
                  <c:v>27.81</c:v>
                </c:pt>
                <c:pt idx="10">
                  <c:v>28.51</c:v>
                </c:pt>
                <c:pt idx="11">
                  <c:v>28.94</c:v>
                </c:pt>
                <c:pt idx="12">
                  <c:v>29.44</c:v>
                </c:pt>
                <c:pt idx="13">
                  <c:v>29.61</c:v>
                </c:pt>
                <c:pt idx="14">
                  <c:v>29.59</c:v>
                </c:pt>
                <c:pt idx="15">
                  <c:v>29.88</c:v>
                </c:pt>
                <c:pt idx="16">
                  <c:v>30.13</c:v>
                </c:pt>
                <c:pt idx="17">
                  <c:v>29.96</c:v>
                </c:pt>
                <c:pt idx="18">
                  <c:v>29.62</c:v>
                </c:pt>
                <c:pt idx="19">
                  <c:v>29</c:v>
                </c:pt>
                <c:pt idx="20">
                  <c:v>28.14</c:v>
                </c:pt>
                <c:pt idx="21">
                  <c:v>27.55</c:v>
                </c:pt>
                <c:pt idx="22">
                  <c:v>27.03</c:v>
                </c:pt>
                <c:pt idx="23">
                  <c:v>26.97</c:v>
                </c:pt>
                <c:pt idx="24">
                  <c:v>27.86</c:v>
                </c:pt>
                <c:pt idx="25">
                  <c:v>28.48</c:v>
                </c:pt>
                <c:pt idx="26">
                  <c:v>29.52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71-458F-83AB-631497F70221}"/>
            </c:ext>
          </c:extLst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35-39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27"/>
                <c:pt idx="0">
                  <c:v>6.8599999999999977</c:v>
                </c:pt>
                <c:pt idx="1">
                  <c:v>6.89</c:v>
                </c:pt>
                <c:pt idx="2">
                  <c:v>6.93</c:v>
                </c:pt>
                <c:pt idx="3">
                  <c:v>7.1899999999999986</c:v>
                </c:pt>
                <c:pt idx="4">
                  <c:v>7.23</c:v>
                </c:pt>
                <c:pt idx="5">
                  <c:v>7.9</c:v>
                </c:pt>
                <c:pt idx="6">
                  <c:v>8.09</c:v>
                </c:pt>
                <c:pt idx="7">
                  <c:v>8.6</c:v>
                </c:pt>
                <c:pt idx="8">
                  <c:v>9.33</c:v>
                </c:pt>
                <c:pt idx="9">
                  <c:v>9.98</c:v>
                </c:pt>
                <c:pt idx="10">
                  <c:v>10.55</c:v>
                </c:pt>
                <c:pt idx="11">
                  <c:v>11.47</c:v>
                </c:pt>
                <c:pt idx="12">
                  <c:v>12.24</c:v>
                </c:pt>
                <c:pt idx="13">
                  <c:v>12.89</c:v>
                </c:pt>
                <c:pt idx="14">
                  <c:v>13.85</c:v>
                </c:pt>
                <c:pt idx="15">
                  <c:v>14.36</c:v>
                </c:pt>
                <c:pt idx="16">
                  <c:v>14.97</c:v>
                </c:pt>
                <c:pt idx="17">
                  <c:v>15.44</c:v>
                </c:pt>
                <c:pt idx="18">
                  <c:v>15.78</c:v>
                </c:pt>
                <c:pt idx="19">
                  <c:v>15.93</c:v>
                </c:pt>
                <c:pt idx="20">
                  <c:v>16.3</c:v>
                </c:pt>
                <c:pt idx="21">
                  <c:v>16.5</c:v>
                </c:pt>
                <c:pt idx="22">
                  <c:v>16.12</c:v>
                </c:pt>
                <c:pt idx="23">
                  <c:v>15.92</c:v>
                </c:pt>
                <c:pt idx="24">
                  <c:v>15.75</c:v>
                </c:pt>
                <c:pt idx="25">
                  <c:v>15.69</c:v>
                </c:pt>
                <c:pt idx="26">
                  <c:v>15.5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71-458F-83AB-631497F70221}"/>
            </c:ext>
          </c:extLst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≥40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7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27"/>
                <c:pt idx="0">
                  <c:v>1.17</c:v>
                </c:pt>
                <c:pt idx="1">
                  <c:v>1.28</c:v>
                </c:pt>
                <c:pt idx="2">
                  <c:v>1.32</c:v>
                </c:pt>
                <c:pt idx="3">
                  <c:v>1.38</c:v>
                </c:pt>
                <c:pt idx="4">
                  <c:v>1.4</c:v>
                </c:pt>
                <c:pt idx="5">
                  <c:v>1.5</c:v>
                </c:pt>
                <c:pt idx="6">
                  <c:v>1.47</c:v>
                </c:pt>
                <c:pt idx="7">
                  <c:v>1.54</c:v>
                </c:pt>
                <c:pt idx="8">
                  <c:v>1.61</c:v>
                </c:pt>
                <c:pt idx="9">
                  <c:v>1.74</c:v>
                </c:pt>
                <c:pt idx="10">
                  <c:v>1.85</c:v>
                </c:pt>
                <c:pt idx="11">
                  <c:v>1.98</c:v>
                </c:pt>
                <c:pt idx="12">
                  <c:v>2.1</c:v>
                </c:pt>
                <c:pt idx="13">
                  <c:v>2.27</c:v>
                </c:pt>
                <c:pt idx="14">
                  <c:v>2.4700000000000002</c:v>
                </c:pt>
                <c:pt idx="15">
                  <c:v>2.7</c:v>
                </c:pt>
                <c:pt idx="16">
                  <c:v>2.87</c:v>
                </c:pt>
                <c:pt idx="17">
                  <c:v>3.03</c:v>
                </c:pt>
                <c:pt idx="18">
                  <c:v>3.2</c:v>
                </c:pt>
                <c:pt idx="19">
                  <c:v>3.39</c:v>
                </c:pt>
                <c:pt idx="20">
                  <c:v>3.46</c:v>
                </c:pt>
                <c:pt idx="21">
                  <c:v>3.6</c:v>
                </c:pt>
                <c:pt idx="22">
                  <c:v>3.64</c:v>
                </c:pt>
                <c:pt idx="23">
                  <c:v>3.72</c:v>
                </c:pt>
                <c:pt idx="24">
                  <c:v>3.72</c:v>
                </c:pt>
                <c:pt idx="25">
                  <c:v>3.92</c:v>
                </c:pt>
                <c:pt idx="26">
                  <c:v>3.97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71-458F-83AB-631497F70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667864"/>
        <c:axId val="100669824"/>
      </c:barChart>
      <c:catAx>
        <c:axId val="100667864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defRPr>
                </a:pPr>
                <a:r>
                  <a:rPr lang="en-GB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rPr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 Light"/>
              </a:defRPr>
            </a:pPr>
            <a:endParaRPr lang="en-US"/>
          </a:p>
        </c:txPr>
        <c:crossAx val="100669824"/>
        <c:crosses val="autoZero"/>
        <c:auto val="1"/>
        <c:lblAlgn val="ctr"/>
        <c:lblOffset val="100"/>
        <c:noMultiLvlLbl val="1"/>
      </c:catAx>
      <c:valAx>
        <c:axId val="100669824"/>
        <c:scaling>
          <c:orientation val="minMax"/>
          <c:max val="100"/>
        </c:scaling>
        <c:delete val="0"/>
        <c:axPos val="l"/>
        <c:majorGridlines>
          <c:spPr>
            <a:ln w="6480">
              <a:noFill/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defRPr>
                </a:pPr>
                <a:r>
                  <a:rPr lang="en-GB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 Light"/>
                  </a:rPr>
                  <a:t>Proportion of births (%)  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 Light"/>
              </a:defRPr>
            </a:pPr>
            <a:endParaRPr lang="en-US"/>
          </a:p>
        </c:txPr>
        <c:crossAx val="100667864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solidFill>
        <a:schemeClr val="tx1"/>
      </a:solidFill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D586-B8AC-42B9-ACA2-59464416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MHRA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Ghosh, Rebecca</dc:creator>
  <cp:lastModifiedBy>Ghosh, Rebecca</cp:lastModifiedBy>
  <cp:revision>2</cp:revision>
  <dcterms:created xsi:type="dcterms:W3CDTF">2017-06-11T19:45:00Z</dcterms:created>
  <dcterms:modified xsi:type="dcterms:W3CDTF">2017-06-11T19:45:00Z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http://www.zotero.org/styles/american-political-science-association</vt:lpwstr>
  </property>
  <property fmtid="{D5CDD505-2E9C-101B-9397-08002B2CF9AE}" pid="10" name="Mendeley Recent Style Name 0_1">
    <vt:lpwstr>American Political Science Association</vt:lpwstr>
  </property>
  <property fmtid="{D5CDD505-2E9C-101B-9397-08002B2CF9AE}" pid="11" name="Mendeley Recent Style Id 1_1">
    <vt:lpwstr>http://www.zotero.org/styles/apa</vt:lpwstr>
  </property>
  <property fmtid="{D5CDD505-2E9C-101B-9397-08002B2CF9AE}" pid="12" name="Mendeley Recent Style Name 1_1">
    <vt:lpwstr>American Psychological Association 6th edition</vt:lpwstr>
  </property>
  <property fmtid="{D5CDD505-2E9C-101B-9397-08002B2CF9AE}" pid="13" name="Mendeley Recent Style Id 2_1">
    <vt:lpwstr>http://www.zotero.org/styles/american-sociological-association</vt:lpwstr>
  </property>
  <property fmtid="{D5CDD505-2E9C-101B-9397-08002B2CF9AE}" pid="14" name="Mendeley Recent Style Name 2_1">
    <vt:lpwstr>American Sociological Association</vt:lpwstr>
  </property>
  <property fmtid="{D5CDD505-2E9C-101B-9397-08002B2CF9AE}" pid="15" name="Mendeley Recent Style Id 3_1">
    <vt:lpwstr>http://csl.mendeley.com/styles/2889421/bmj-3</vt:lpwstr>
  </property>
  <property fmtid="{D5CDD505-2E9C-101B-9397-08002B2CF9AE}" pid="16" name="Mendeley Recent Style Name 3_1">
    <vt:lpwstr>BMJ - Rebecca Ghosh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(deprecated)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</Properties>
</file>